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360"/>
      </w:tblGrid>
      <w:tr>
        <w:tc>
          <w:tcPr>
            <w:tcW w:type="dxa" w:w="9360"/>
            <w:tcBorders>
              <w:top w:val="none" w:color="FFFFFF" w:sz="0"/>
              <w:left w:val="none" w:color="FFFFFF" w:sz="0"/>
              <w:bottom w:val="single" w:color="C9932A" w:sz="24"/>
              <w:right w:val="none" w:color="FFFFFF" w:sz="0"/>
            </w:tcBorders>
            <w:shd w:fill="0B0B0A" w:color="auto" w:val="clear"/>
            <w:tcMar>
              <w:top w:type="dxa" w:w="500"/>
              <w:left w:type="dxa" w:w="300"/>
              <w:bottom w:type="dxa" w:w="500"/>
              <w:right w:type="dxa" w:w="300"/>
            </w:tcMar>
          </w:tcPr>
          <w:p>
            <w:pPr>
              <w:spacing w:after="0"/>
              <w:jc w:val="center"/>
            </w:pPr>
            <w:r>
              <w:drawing>
                <wp:inline distT="0" distB="0" distL="0" distR="0">
                  <wp:extent cx="5143500" cy="1714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143500" cy="1714500"/>
                          </a:xfrm>
                          <a:prstGeom prst="rect">
                            <a:avLst/>
                          </a:prstGeom>
                        </pic:spPr>
                      </pic:pic>
                    </a:graphicData>
                  </a:graphic>
                </wp:inline>
              </w:drawing>
            </w:r>
          </w:p>
        </w:tc>
      </w:tr>
    </w:tbl>
    <w:p>
      <w:pPr>
        <w:spacing w:after="900"/>
      </w:pPr>
    </w:p>
    <w:p>
      <w:pPr>
        <w:pStyle w:val="ACGEyebrow"/>
      </w:pPr>
      <w:r>
        <w:t xml:space="preserve">A CONTRACT REVIEW CHECKLIST</w:t>
      </w:r>
    </w:p>
    <w:p>
      <w:pPr>
        <w:pStyle w:val="Title"/>
      </w:pPr>
      <w:r>
        <w:t xml:space="preserve">Subcontract Safety &amp; Risk Clause Checklist</w:t>
      </w:r>
    </w:p>
    <w:p>
      <w:pPr>
        <w:pStyle w:val="Subtitle"/>
      </w:pPr>
      <w:r>
        <w:t xml:space="preserve">The safety terms that decide who pays after an injury on a Utah project.</w:t>
      </w:r>
    </w:p>
    <w:p>
      <w:pPr>
        <w:pStyle w:val="Normal"/>
      </w:pPr>
      <w:r>
        <w:t xml:space="preserve">For general contractors, subcontractors, and owners reviewing Utah construction subcontracts.</w:t>
      </w:r>
    </w:p>
    <w:p>
      <w:pPr>
        <w:spacing w:after="1500"/>
      </w:pPr>
    </w:p>
    <w:p>
      <w:pPr>
        <w:spacing w:after="40"/>
      </w:pPr>
      <w:r>
        <w:rPr>
          <w:rFonts w:ascii="Georgia" w:cs="Georgia" w:eastAsia="Georgia" w:hAnsi="Georgia"/>
          <w:b/>
          <w:bCs/>
          <w:color w:val="111110"/>
        </w:rPr>
        <w:t xml:space="preserve">Devin Argyle, Attorney at Law</w:t>
      </w:r>
    </w:p>
    <w:p>
      <w:pPr>
        <w:spacing w:after="40"/>
      </w:pPr>
      <w:r>
        <w:rPr>
          <w:color w:val="6B6B6B"/>
          <w:sz w:val="20"/>
          <w:szCs w:val="20"/>
        </w:rPr>
        <w:t xml:space="preserve">Argyle Consulting Group, PLLC  |  Bountiful, Utah</w:t>
      </w:r>
    </w:p>
    <w:p>
      <w:pPr>
        <w:spacing w:after="400"/>
      </w:pPr>
      <w:r>
        <w:rPr>
          <w:color w:val="6B6B6B"/>
          <w:sz w:val="20"/>
          <w:szCs w:val="20"/>
        </w:rPr>
        <w:t xml:space="preserve">October 2026</w:t>
      </w:r>
    </w:p>
    <w:p>
      <w:pPr>
        <w:pStyle w:val="ACGFinePrint"/>
      </w:pPr>
      <w:r>
        <w:t xml:space="preserve">General information only, not legal advice. Reading or using this guide does not create an attorney-client relationship. Facts and deadlines in a specific matter can change the right answer.</w:t>
      </w:r>
    </w:p>
    <w:p>
      <w:pPr>
        <w:pStyle w:val="Heading1"/>
        <w:pageBreakBefore/>
        <w:spacing w:before="0"/>
      </w:pPr>
      <w:r>
        <w:rPr>
          <w:color w:val="C9932A"/>
        </w:rPr>
        <w:t xml:space="preserve">01  </w:t>
      </w:r>
      <w:r>
        <w:t xml:space="preserve">How to use this checklist</w:t>
      </w:r>
    </w:p>
    <w:p>
      <w:r>
        <w:t xml:space="preserve">The safety terms in a subcontract decide who pays after an injury, not just who wears the hard hat. Use this checklist before signing or issuing any Utah construction subcontract, from either side of the table.</w:t>
      </w:r>
    </w:p>
    <w:tbl>
      <w:tblPr>
        <w:tblStyle w:val="ACGTable"/>
        <w:tblW w:type="dxa" w:w="9360"/>
        <w:tblBorders>
          <w:top w:val="single" w:color="D9CCA8" w:sz="4"/>
          <w:left w:val="none" w:color="FFFFFF" w:sz="0"/>
          <w:bottom w:val="single" w:color="C9932A" w:sz="10"/>
          <w:right w:val="none" w:color="FFFFFF" w:sz="0"/>
          <w:insideH w:val="single" w:color="D9CCA8" w:sz="4"/>
          <w:insideV w:val="none" w:color="FFFFFF" w:sz="0"/>
        </w:tblBorders>
        <w:tblLayout w:type="fixed"/>
      </w:tblPr>
      <w:tblGrid>
        <w:gridCol w:w="2000"/>
        <w:gridCol w:w="7360"/>
      </w:tblGrid>
      <w:tr>
        <w:trPr>
          <w:cantSplit/>
          <w:tblHeader/>
        </w:trPr>
        <w:tc>
          <w:tcPr>
            <w:tcW w:type="dxa" w:w="2000"/>
            <w:shd w:fill="111110" w:color="auto" w:val="clear"/>
            <w:tcMar>
              <w:top w:type="dxa" w:w="90"/>
              <w:left w:type="dxa" w:w="130"/>
              <w:bottom w:type="dxa" w:w="90"/>
              <w:right w:type="dxa" w:w="130"/>
            </w:tcMar>
            <w:vAlign w:val="center"/>
          </w:tcPr>
          <w:p>
            <w:pPr>
              <w:pStyle w:val="ACGTableText"/>
            </w:pPr>
            <w:r>
              <w:rPr>
                <w:b/>
                <w:bCs/>
                <w:color w:val="F0C050"/>
              </w:rPr>
              <w:t xml:space="preserve">Rank</w:t>
            </w:r>
          </w:p>
        </w:tc>
        <w:tc>
          <w:tcPr>
            <w:tcW w:type="dxa" w:w="7360"/>
            <w:shd w:fill="111110" w:color="auto" w:val="clear"/>
            <w:tcMar>
              <w:top w:type="dxa" w:w="90"/>
              <w:left w:type="dxa" w:w="130"/>
              <w:bottom w:type="dxa" w:w="90"/>
              <w:right w:type="dxa" w:w="130"/>
            </w:tcMar>
            <w:vAlign w:val="center"/>
          </w:tcPr>
          <w:p>
            <w:pPr>
              <w:pStyle w:val="ACGTableText"/>
            </w:pPr>
            <w:r>
              <w:rPr>
                <w:b/>
                <w:bCs/>
                <w:color w:val="F0C050"/>
              </w:rPr>
              <w:t xml:space="preserve">Meaning</w:t>
            </w:r>
          </w:p>
        </w:tc>
      </w:tr>
      <w:tr>
        <w:trPr>
          <w:cantSplit/>
        </w:trPr>
        <w:tc>
          <w:tcPr>
            <w:tcW w:type="dxa" w:w="2000"/>
            <w:shd w:fill="FFFFFF" w:color="auto" w:val="clear"/>
            <w:tcMar>
              <w:top w:type="dxa" w:w="90"/>
              <w:left w:type="dxa" w:w="130"/>
              <w:bottom w:type="dxa" w:w="90"/>
              <w:right w:type="dxa" w:w="130"/>
            </w:tcMar>
            <w:vAlign w:val="center"/>
          </w:tcPr>
          <w:p>
            <w:pPr>
              <w:pStyle w:val="ACGTableText"/>
            </w:pPr>
            <w:r>
              <w:t xml:space="preserve">Critical</w:t>
            </w:r>
          </w:p>
        </w:tc>
        <w:tc>
          <w:tcPr>
            <w:tcW w:type="dxa" w:w="7360"/>
            <w:shd w:fill="FFFFFF" w:color="auto" w:val="clear"/>
            <w:tcMar>
              <w:top w:type="dxa" w:w="90"/>
              <w:left w:type="dxa" w:w="130"/>
              <w:bottom w:type="dxa" w:w="90"/>
              <w:right w:type="dxa" w:w="130"/>
            </w:tcMar>
            <w:vAlign w:val="center"/>
          </w:tcPr>
          <w:p>
            <w:pPr>
              <w:pStyle w:val="ACGTableText"/>
            </w:pPr>
            <w:r>
              <w:t xml:space="preserve">Could void a protection or shift a major loss. Resolve before signature.</w:t>
            </w:r>
          </w:p>
        </w:tc>
      </w:tr>
      <w:tr>
        <w:trPr>
          <w:cantSplit/>
        </w:trPr>
        <w:tc>
          <w:tcPr>
            <w:tcW w:type="dxa" w:w="2000"/>
            <w:shd w:fill="FAF4E4" w:color="auto" w:val="clear"/>
            <w:tcMar>
              <w:top w:type="dxa" w:w="90"/>
              <w:left w:type="dxa" w:w="130"/>
              <w:bottom w:type="dxa" w:w="90"/>
              <w:right w:type="dxa" w:w="130"/>
            </w:tcMar>
            <w:vAlign w:val="center"/>
          </w:tcPr>
          <w:p>
            <w:pPr>
              <w:pStyle w:val="ACGTableText"/>
            </w:pPr>
            <w:r>
              <w:t xml:space="preserve">Important</w:t>
            </w:r>
          </w:p>
        </w:tc>
        <w:tc>
          <w:tcPr>
            <w:tcW w:type="dxa" w:w="7360"/>
            <w:shd w:fill="FAF4E4" w:color="auto" w:val="clear"/>
            <w:tcMar>
              <w:top w:type="dxa" w:w="90"/>
              <w:left w:type="dxa" w:w="130"/>
              <w:bottom w:type="dxa" w:w="90"/>
              <w:right w:type="dxa" w:w="130"/>
            </w:tcMar>
            <w:vAlign w:val="center"/>
          </w:tcPr>
          <w:p>
            <w:pPr>
              <w:pStyle w:val="ACGTableText"/>
            </w:pPr>
            <w:r>
              <w:t xml:space="preserve">Meaningful exposure. Negotiate.</w:t>
            </w:r>
          </w:p>
        </w:tc>
      </w:tr>
      <w:tr>
        <w:trPr>
          <w:cantSplit/>
        </w:trPr>
        <w:tc>
          <w:tcPr>
            <w:tcW w:type="dxa" w:w="2000"/>
            <w:shd w:fill="FFFFFF" w:color="auto" w:val="clear"/>
            <w:tcMar>
              <w:top w:type="dxa" w:w="90"/>
              <w:left w:type="dxa" w:w="130"/>
              <w:bottom w:type="dxa" w:w="90"/>
              <w:right w:type="dxa" w:w="130"/>
            </w:tcMar>
            <w:vAlign w:val="center"/>
          </w:tcPr>
          <w:p>
            <w:pPr>
              <w:pStyle w:val="ACGTableText"/>
            </w:pPr>
            <w:r>
              <w:t xml:space="preserve">Negotiable</w:t>
            </w:r>
          </w:p>
        </w:tc>
        <w:tc>
          <w:tcPr>
            <w:tcW w:type="dxa" w:w="7360"/>
            <w:shd w:fill="FFFFFF" w:color="auto" w:val="clear"/>
            <w:tcMar>
              <w:top w:type="dxa" w:w="90"/>
              <w:left w:type="dxa" w:w="130"/>
              <w:bottom w:type="dxa" w:w="90"/>
              <w:right w:type="dxa" w:w="130"/>
            </w:tcMar>
            <w:vAlign w:val="center"/>
          </w:tcPr>
          <w:p>
            <w:pPr>
              <w:pStyle w:val="ACGTableText"/>
            </w:pPr>
            <w:r>
              <w:t xml:space="preserve">Business preference.</w:t>
            </w:r>
          </w:p>
        </w:tc>
      </w:tr>
      <w:tr>
        <w:trPr>
          <w:cantSplit/>
        </w:trPr>
        <w:tc>
          <w:tcPr>
            <w:tcW w:type="dxa" w:w="2000"/>
            <w:shd w:fill="FAF4E4" w:color="auto" w:val="clear"/>
            <w:tcMar>
              <w:top w:type="dxa" w:w="90"/>
              <w:left w:type="dxa" w:w="130"/>
              <w:bottom w:type="dxa" w:w="90"/>
              <w:right w:type="dxa" w:w="130"/>
            </w:tcMar>
            <w:vAlign w:val="center"/>
          </w:tcPr>
          <w:p>
            <w:pPr>
              <w:pStyle w:val="ACGTableText"/>
            </w:pPr>
            <w:r>
              <w:t xml:space="preserve">Administrative</w:t>
            </w:r>
          </w:p>
        </w:tc>
        <w:tc>
          <w:tcPr>
            <w:tcW w:type="dxa" w:w="7360"/>
            <w:shd w:fill="FAF4E4" w:color="auto" w:val="clear"/>
            <w:tcMar>
              <w:top w:type="dxa" w:w="90"/>
              <w:left w:type="dxa" w:w="130"/>
              <w:bottom w:type="dxa" w:w="90"/>
              <w:right w:type="dxa" w:w="130"/>
            </w:tcMar>
            <w:vAlign w:val="center"/>
          </w:tcPr>
          <w:p>
            <w:pPr>
              <w:pStyle w:val="ACGTableText"/>
            </w:pPr>
            <w:r>
              <w:t xml:space="preserve">Clean-up.</w:t>
            </w:r>
          </w:p>
        </w:tc>
      </w:tr>
    </w:tbl>
    <w:p>
      <w:pPr>
        <w:pStyle w:val="ACGBoxEnd"/>
      </w:pPr>
    </w:p>
    <w:p>
      <w:pPr>
        <w:pStyle w:val="Heading1"/>
      </w:pPr>
      <w:r>
        <w:rPr>
          <w:color w:val="C9932A"/>
        </w:rPr>
        <w:t xml:space="preserve">02  </w:t>
      </w:r>
      <w:r>
        <w:t xml:space="preserve">Indemnity</w:t>
      </w:r>
    </w:p>
    <w:p>
      <w:r>
        <w:t xml:space="preserve">In Utah, a construction indemnity clause cannot shift to the subcontractor liability caused by the general contractor’s own fault. Utah Code § 13-8-1 makes those provisions void and unenforceable as against public policy.</w:t>
      </w:r>
    </w:p>
    <w:p>
      <w:pPr>
        <w:pStyle w:val="ListBullet"/>
        <w:numPr>
          <w:ilvl w:val="0"/>
          <w:numId w:val="2"/>
        </w:numPr>
      </w:pPr>
      <w:r>
        <w:rPr>
          <w:b/>
          <w:bCs/>
        </w:rPr>
        <w:t xml:space="preserve">The statute is broad.</w:t>
      </w:r>
      <w:r>
        <w:t xml:space="preserve"> It covers promises to insure, hold harmless, indemnify, or defend, in or connected to a construction contract, and reaches bodily injury, property damage, and economic loss.</w:t>
      </w:r>
    </w:p>
    <w:p>
      <w:pPr>
        <w:pStyle w:val="ListBullet"/>
        <w:numPr>
          <w:ilvl w:val="0"/>
          <w:numId w:val="2"/>
        </w:numPr>
      </w:pPr>
      <w:r>
        <w:rPr>
          <w:b/>
          <w:bCs/>
        </w:rPr>
        <w:t xml:space="preserve">Draft to fault.</w:t>
      </w:r>
      <w:r>
        <w:t xml:space="preserve"> A clause written “to the extent caused by” the subcontractor’s negligence or breach is far more likely to hold up than “any and all claims arising out of the work.”</w:t>
      </w:r>
    </w:p>
    <w:p>
      <w:pPr>
        <w:pStyle w:val="ListBullet"/>
        <w:numPr>
          <w:ilvl w:val="0"/>
          <w:numId w:val="2"/>
        </w:numPr>
      </w:pPr>
      <w:r>
        <w:rPr>
          <w:b/>
          <w:bCs/>
        </w:rPr>
        <w:t xml:space="preserve">Defense obligations count.</w:t>
      </w:r>
      <w:r>
        <w:t xml:space="preserve"> A duty to defend the general contractor against its own negligence falls within the statute.</w:t>
      </w:r>
    </w:p>
    <w:p>
      <w:pPr>
        <w:pStyle w:val="ListBullet"/>
        <w:numPr>
          <w:ilvl w:val="0"/>
          <w:numId w:val="2"/>
        </w:numPr>
      </w:pPr>
      <w:r>
        <w:rPr>
          <w:b/>
          <w:bCs/>
        </w:rPr>
        <w:t xml:space="preserve">Owner contracts are treated differently.</w:t>
      </w:r>
      <w:r>
        <w:t xml:space="preserve"> Where an owner partly caused the damages, the statute apportions the owner’s share by proportional fault.</w:t>
      </w:r>
    </w:p>
    <w:p>
      <w:pPr>
        <w:pStyle w:val="ListBullet"/>
        <w:numPr>
          <w:ilvl w:val="0"/>
          <w:numId w:val="2"/>
        </w:numPr>
      </w:pPr>
      <w:r>
        <w:rPr>
          <w:b/>
          <w:bCs/>
        </w:rPr>
        <w:t xml:space="preserve">Out-of-state forms.</w:t>
      </w:r>
      <w:r>
        <w:t xml:space="preserve"> A national form governed by another state’s law may not reflect Utah’s rule. Check the governing-law clause.</w:t>
      </w:r>
    </w:p>
    <w:p>
      <w:pPr>
        <w:spacing w:after="0"/>
      </w:pPr>
    </w:p>
    <w:p>
      <w:pPr>
        <w:pStyle w:val="ACGQuoteLabel"/>
      </w:pPr>
      <w:r>
        <w:t xml:space="preserve">Sample language · adapt to your contract and have counsel review</w:t>
      </w:r>
    </w:p>
    <w:p>
      <w:pPr>
        <w:pStyle w:val="Quote"/>
      </w:pPr>
      <w:r>
        <w:t xml:space="preserve">To the fullest extent permitted by law, including Utah Code § 13-8-1, Subcontractor shall indemnify and hold harmless Contractor from claims for bodily injury, property damage, or economic loss, but only to the extent caused by the negligent acts or omissions, or breach of this Subcontract, of Subcontractor or anyone for whose acts Subcontractor is liable.</w:t>
      </w:r>
    </w:p>
    <w:p>
      <w:pPr>
        <w:pStyle w:val="ACGBoxEnd"/>
      </w:pPr>
    </w:p>
    <w:p>
      <w:pPr>
        <w:pStyle w:val="Heading1"/>
      </w:pPr>
      <w:r>
        <w:rPr>
          <w:color w:val="C9932A"/>
        </w:rPr>
        <w:t xml:space="preserve">03  </w:t>
      </w:r>
      <w:r>
        <w:t xml:space="preserve">Insurance and workers’ compensation</w:t>
      </w:r>
    </w:p>
    <w:p>
      <w:r>
        <w:t xml:space="preserve">Insurance requirements do the work indemnity often can’t, but only if the endorsements actually exist.</w:t>
      </w:r>
    </w:p>
    <w:p>
      <w:pPr>
        <w:pStyle w:val="ListBullet"/>
        <w:numPr>
          <w:ilvl w:val="0"/>
          <w:numId w:val="2"/>
        </w:numPr>
      </w:pPr>
      <w:r>
        <w:rPr>
          <w:b/>
          <w:bCs/>
        </w:rPr>
        <w:t xml:space="preserve">Additional insured.</w:t>
      </w:r>
      <w:r>
        <w:t xml:space="preserve"> Require the general contractor (and owner, if required upstream) as additional insured on the subcontractor’s CGL policy, for ongoing and completed operations. Name the endorsement forms.</w:t>
      </w:r>
    </w:p>
    <w:p>
      <w:pPr>
        <w:pStyle w:val="ListBullet"/>
        <w:numPr>
          <w:ilvl w:val="0"/>
          <w:numId w:val="2"/>
        </w:numPr>
      </w:pPr>
      <w:r>
        <w:rPr>
          <w:b/>
          <w:bCs/>
        </w:rPr>
        <w:t xml:space="preserve">Certificates are not coverage.</w:t>
      </w:r>
      <w:r>
        <w:t xml:space="preserve"> A certificate of insurance is informational. Ask for the endorsements themselves.</w:t>
      </w:r>
    </w:p>
    <w:p>
      <w:pPr>
        <w:pStyle w:val="ListBullet"/>
        <w:numPr>
          <w:ilvl w:val="0"/>
          <w:numId w:val="2"/>
        </w:numPr>
      </w:pPr>
      <w:r>
        <w:rPr>
          <w:b/>
          <w:bCs/>
        </w:rPr>
        <w:t xml:space="preserve">Primary and non-contributory.</w:t>
      </w:r>
      <w:r>
        <w:t xml:space="preserve"> Without it, the general contractor’s own policy may be drawn in first.</w:t>
      </w:r>
    </w:p>
    <w:p>
      <w:pPr>
        <w:pStyle w:val="ListBullet"/>
        <w:numPr>
          <w:ilvl w:val="0"/>
          <w:numId w:val="2"/>
        </w:numPr>
      </w:pPr>
      <w:r>
        <w:rPr>
          <w:b/>
          <w:bCs/>
        </w:rPr>
        <w:t xml:space="preserve">Waiver of subrogation</w:t>
      </w:r>
      <w:r>
        <w:t xml:space="preserve"> on general liability, auto, and workers’ compensation, supported by endorsements.</w:t>
      </w:r>
    </w:p>
    <w:p>
      <w:pPr>
        <w:pStyle w:val="ListBullet"/>
        <w:numPr>
          <w:ilvl w:val="0"/>
          <w:numId w:val="2"/>
        </w:numPr>
      </w:pPr>
      <w:r>
        <w:rPr>
          <w:b/>
          <w:bCs/>
        </w:rPr>
        <w:t xml:space="preserve">Limits that match the work,</w:t>
      </w:r>
      <w:r>
        <w:t xml:space="preserve"> checked against the prime contract’s flow-down requirements.</w:t>
      </w:r>
    </w:p>
    <w:p>
      <w:pPr>
        <w:pStyle w:val="ListBullet"/>
        <w:numPr>
          <w:ilvl w:val="0"/>
          <w:numId w:val="2"/>
        </w:numPr>
      </w:pPr>
      <w:r>
        <w:rPr>
          <w:b/>
          <w:bCs/>
        </w:rPr>
        <w:t xml:space="preserve">Workers’ compensation status.</w:t>
      </w:r>
      <w:r>
        <w:t xml:space="preserve"> Under Utah Code § 34A-2-103(7), a business that retains supervision or control over work that is part of its trade can be treated as the employer of an uninsured subcontractor’s workers. Keep proof of each subcontractor’s coverage, or a valid waiver or compliance certification. Exclusive-remedy protection also depends on conditions that include adopting, posting, and enforcing a written workplace accident and injury reduction program.</w:t>
      </w:r>
    </w:p>
    <w:p>
      <w:pPr>
        <w:spacing w:after="0"/>
      </w:pPr>
    </w:p>
    <w:p>
      <w:r>
        <w:t xml:space="preserve">Coordinate the insurance section with your broker. It is where legal drafting and coverage terms most often fail to match.</w:t>
      </w:r>
    </w:p>
    <w:p>
      <w:pPr>
        <w:pStyle w:val="Heading1"/>
      </w:pPr>
      <w:r>
        <w:rPr>
          <w:color w:val="C9932A"/>
        </w:rPr>
        <w:t xml:space="preserve">04  </w:t>
      </w:r>
      <w:r>
        <w:t xml:space="preserve">Safety responsibility</w:t>
      </w:r>
    </w:p>
    <w:p>
      <w:r>
        <w:t xml:space="preserve">On a multi-employer site, more than one company can be cited for the same hazard, and the contract is one way OSHA decides which.</w:t>
      </w:r>
    </w:p>
    <w:p>
      <w:pPr>
        <w:pStyle w:val="ListBullet"/>
        <w:numPr>
          <w:ilvl w:val="0"/>
          <w:numId w:val="2"/>
        </w:numPr>
      </w:pPr>
      <w:r>
        <w:rPr>
          <w:b/>
          <w:bCs/>
        </w:rPr>
        <w:t xml:space="preserve">Controlling-employer exposure.</w:t>
      </w:r>
      <w:r>
        <w:t xml:space="preserve"> Under OSHA’s multi-employer citation policy (CPL 02-00-124), a contract right to require safety compliance and correct violations makes a general contractor a controlling employer. Broad control in actual practice can do the same, even if the contract disclaims it.</w:t>
      </w:r>
    </w:p>
    <w:p>
      <w:pPr>
        <w:pStyle w:val="ListBullet"/>
        <w:numPr>
          <w:ilvl w:val="0"/>
          <w:numId w:val="2"/>
        </w:numPr>
      </w:pPr>
      <w:r>
        <w:rPr>
          <w:b/>
          <w:bCs/>
        </w:rPr>
        <w:t xml:space="preserve">What reasonable care looks like.</w:t>
      </w:r>
      <w:r>
        <w:t xml:space="preserve"> Inspect at a reasonable frequency, correct hazards promptly, and enforce rules through graduated discipline with follow-up. Write the contract so the general contractor can do that, then do it.</w:t>
      </w:r>
    </w:p>
    <w:p>
      <w:pPr>
        <w:pStyle w:val="ListBullet"/>
        <w:numPr>
          <w:ilvl w:val="0"/>
          <w:numId w:val="2"/>
        </w:numPr>
      </w:pPr>
      <w:r>
        <w:rPr>
          <w:b/>
          <w:bCs/>
        </w:rPr>
        <w:t xml:space="preserve">Subcontractor duties, stated plainly:</w:t>
      </w:r>
      <w:r>
        <w:t xml:space="preserve"> compliance with applicable OSHA/UOSH standards for its own employees and work; a competent person where standards require one; its own written programs and training records.</w:t>
      </w:r>
    </w:p>
    <w:p>
      <w:pPr>
        <w:pStyle w:val="ListBullet"/>
        <w:numPr>
          <w:ilvl w:val="0"/>
          <w:numId w:val="2"/>
        </w:numPr>
      </w:pPr>
      <w:r>
        <w:rPr>
          <w:b/>
          <w:bCs/>
        </w:rPr>
        <w:t xml:space="preserve">Site rules by reference.</w:t>
      </w:r>
      <w:r>
        <w:t xml:space="preserve"> Incorporate the site-specific safety plan and orientation requirements, and require acknowledgment.</w:t>
      </w:r>
    </w:p>
    <w:p>
      <w:pPr>
        <w:pStyle w:val="ListBullet"/>
        <w:numPr>
          <w:ilvl w:val="0"/>
          <w:numId w:val="2"/>
        </w:numPr>
      </w:pPr>
      <w:r>
        <w:rPr>
          <w:b/>
          <w:bCs/>
        </w:rPr>
        <w:t xml:space="preserve">Incident reporting to the general contractor</w:t>
      </w:r>
      <w:r>
        <w:t xml:space="preserve"> fast enough to meet Utah’s 8-hour UOSH reporting deadline (R614-1-5): immediate notice of serious events, with a written report to follow.</w:t>
      </w:r>
    </w:p>
    <w:p>
      <w:pPr>
        <w:pStyle w:val="ListBullet"/>
        <w:numPr>
          <w:ilvl w:val="0"/>
          <w:numId w:val="2"/>
        </w:numPr>
      </w:pPr>
      <w:r>
        <w:rPr>
          <w:b/>
          <w:bCs/>
        </w:rPr>
        <w:t xml:space="preserve">Stop-work and removal rights</w:t>
      </w:r>
      <w:r>
        <w:t xml:space="preserve"> for imminent hazards and for personnel who repeatedly violate rules.</w:t>
      </w:r>
    </w:p>
    <w:p>
      <w:pPr>
        <w:pStyle w:val="ListBullet"/>
        <w:numPr>
          <w:ilvl w:val="0"/>
          <w:numId w:val="2"/>
        </w:numPr>
      </w:pPr>
      <w:r>
        <w:rPr>
          <w:b/>
          <w:bCs/>
        </w:rPr>
        <w:t xml:space="preserve">Penalty pass-through.</w:t>
      </w:r>
      <w:r>
        <w:t xml:space="preserve"> State whether citations caused by the subcontractor’s work are reimbursable, consistent with the indemnity limits above.</w:t>
      </w:r>
    </w:p>
    <w:p>
      <w:pPr>
        <w:pStyle w:val="ListBullet"/>
        <w:numPr>
          <w:ilvl w:val="0"/>
          <w:numId w:val="2"/>
        </w:numPr>
      </w:pPr>
      <w:r>
        <w:rPr>
          <w:b/>
          <w:bCs/>
        </w:rPr>
        <w:t xml:space="preserve">Flow-down.</w:t>
      </w:r>
      <w:r>
        <w:t xml:space="preserve"> Require the same terms in every sub-subcontract.</w:t>
      </w:r>
    </w:p>
    <w:p>
      <w:pPr>
        <w:spacing w:after="0"/>
      </w:pPr>
    </w:p>
    <w:p>
      <w:pPr>
        <w:pStyle w:val="Heading1"/>
      </w:pPr>
      <w:r>
        <w:rPr>
          <w:color w:val="C9932A"/>
        </w:rPr>
        <w:t xml:space="preserve">05  </w:t>
      </w:r>
      <w:r>
        <w:t xml:space="preserve">Review checklist</w:t>
      </w:r>
    </w:p>
    <w:p>
      <w:r>
        <w:t xml:space="preserve">Work down the table. Resolve anything ranked Critical before signature.</w:t>
      </w:r>
    </w:p>
    <w:tbl>
      <w:tblPr>
        <w:tblStyle w:val="ACGTable"/>
        <w:tblW w:type="dxa" w:w="9360"/>
        <w:tblBorders>
          <w:top w:val="single" w:color="D9CCA8" w:sz="4"/>
          <w:left w:val="none" w:color="FFFFFF" w:sz="0"/>
          <w:bottom w:val="single" w:color="C9932A" w:sz="10"/>
          <w:right w:val="none" w:color="FFFFFF" w:sz="0"/>
          <w:insideH w:val="single" w:color="D9CCA8" w:sz="4"/>
          <w:insideV w:val="none" w:color="FFFFFF" w:sz="0"/>
        </w:tblBorders>
        <w:tblLayout w:type="fixed"/>
      </w:tblPr>
      <w:tblGrid>
        <w:gridCol w:w="2300"/>
        <w:gridCol w:w="5260"/>
        <w:gridCol w:w="1800"/>
      </w:tblGrid>
      <w:tr>
        <w:trPr>
          <w:cantSplit/>
          <w:tblHeader/>
        </w:trPr>
        <w:tc>
          <w:tcPr>
            <w:tcW w:type="dxa" w:w="2300"/>
            <w:shd w:fill="111110" w:color="auto" w:val="clear"/>
            <w:tcMar>
              <w:top w:type="dxa" w:w="90"/>
              <w:left w:type="dxa" w:w="130"/>
              <w:bottom w:type="dxa" w:w="90"/>
              <w:right w:type="dxa" w:w="130"/>
            </w:tcMar>
            <w:vAlign w:val="center"/>
          </w:tcPr>
          <w:p>
            <w:pPr>
              <w:pStyle w:val="ACGTableText"/>
            </w:pPr>
            <w:r>
              <w:rPr>
                <w:b/>
                <w:bCs/>
                <w:color w:val="F0C050"/>
              </w:rPr>
              <w:t xml:space="preserve">Clause</w:t>
            </w:r>
          </w:p>
        </w:tc>
        <w:tc>
          <w:tcPr>
            <w:tcW w:type="dxa" w:w="5260"/>
            <w:shd w:fill="111110" w:color="auto" w:val="clear"/>
            <w:tcMar>
              <w:top w:type="dxa" w:w="90"/>
              <w:left w:type="dxa" w:w="130"/>
              <w:bottom w:type="dxa" w:w="90"/>
              <w:right w:type="dxa" w:w="130"/>
            </w:tcMar>
            <w:vAlign w:val="center"/>
          </w:tcPr>
          <w:p>
            <w:pPr>
              <w:pStyle w:val="ACGTableText"/>
            </w:pPr>
            <w:r>
              <w:rPr>
                <w:b/>
                <w:bCs/>
                <w:color w:val="F0C050"/>
              </w:rPr>
              <w:t xml:space="preserve">What to check</w:t>
            </w:r>
          </w:p>
        </w:tc>
        <w:tc>
          <w:tcPr>
            <w:tcW w:type="dxa" w:w="1800"/>
            <w:shd w:fill="111110" w:color="auto" w:val="clear"/>
            <w:tcMar>
              <w:top w:type="dxa" w:w="90"/>
              <w:left w:type="dxa" w:w="130"/>
              <w:bottom w:type="dxa" w:w="90"/>
              <w:right w:type="dxa" w:w="130"/>
            </w:tcMar>
            <w:vAlign w:val="center"/>
          </w:tcPr>
          <w:p>
            <w:pPr>
              <w:pStyle w:val="ACGTableText"/>
            </w:pPr>
            <w:r>
              <w:rPr>
                <w:b/>
                <w:bCs/>
                <w:color w:val="F0C050"/>
              </w:rPr>
              <w:t xml:space="preserve">Rank</w:t>
            </w:r>
          </w:p>
        </w:tc>
      </w:tr>
      <w:tr>
        <w:trPr>
          <w:cantSplit/>
        </w:trPr>
        <w:tc>
          <w:tcPr>
            <w:tcW w:type="dxa" w:w="2300"/>
            <w:shd w:fill="FFFFFF" w:color="auto" w:val="clear"/>
            <w:tcMar>
              <w:top w:type="dxa" w:w="90"/>
              <w:left w:type="dxa" w:w="130"/>
              <w:bottom w:type="dxa" w:w="90"/>
              <w:right w:type="dxa" w:w="130"/>
            </w:tcMar>
            <w:vAlign w:val="center"/>
          </w:tcPr>
          <w:p>
            <w:pPr>
              <w:pStyle w:val="ACGTableText"/>
            </w:pPr>
            <w:r>
              <w:t xml:space="preserve">Indemnity scope</w:t>
            </w:r>
          </w:p>
        </w:tc>
        <w:tc>
          <w:tcPr>
            <w:tcW w:type="dxa" w:w="5260"/>
            <w:shd w:fill="FFFFFF" w:color="auto" w:val="clear"/>
            <w:tcMar>
              <w:top w:type="dxa" w:w="90"/>
              <w:left w:type="dxa" w:w="130"/>
              <w:bottom w:type="dxa" w:w="90"/>
              <w:right w:type="dxa" w:w="130"/>
            </w:tcMar>
            <w:vAlign w:val="center"/>
          </w:tcPr>
          <w:p>
            <w:pPr>
              <w:pStyle w:val="ACGTableText"/>
            </w:pPr>
            <w:r>
              <w:t xml:space="preserve">Limited to the subcontractor’s fault (“to the extent caused by”); no indemnity or defense for the general contractor’s own negligence</w:t>
            </w:r>
          </w:p>
        </w:tc>
        <w:tc>
          <w:tcPr>
            <w:tcW w:type="dxa" w:w="1800"/>
            <w:shd w:fill="FFFFFF" w:color="auto" w:val="clear"/>
            <w:tcMar>
              <w:top w:type="dxa" w:w="90"/>
              <w:left w:type="dxa" w:w="130"/>
              <w:bottom w:type="dxa" w:w="90"/>
              <w:right w:type="dxa" w:w="130"/>
            </w:tcMar>
            <w:vAlign w:val="center"/>
          </w:tcPr>
          <w:p>
            <w:pPr>
              <w:pStyle w:val="ACGTableText"/>
            </w:pPr>
            <w:r>
              <w:rPr>
                <w:b/>
                <w:bCs/>
              </w:rPr>
              <w:t xml:space="preserve">Critical</w:t>
            </w:r>
          </w:p>
        </w:tc>
      </w:tr>
      <w:tr>
        <w:trPr>
          <w:cantSplit/>
        </w:trPr>
        <w:tc>
          <w:tcPr>
            <w:tcW w:type="dxa" w:w="2300"/>
            <w:shd w:fill="FAF4E4" w:color="auto" w:val="clear"/>
            <w:tcMar>
              <w:top w:type="dxa" w:w="90"/>
              <w:left w:type="dxa" w:w="130"/>
              <w:bottom w:type="dxa" w:w="90"/>
              <w:right w:type="dxa" w:w="130"/>
            </w:tcMar>
            <w:vAlign w:val="center"/>
          </w:tcPr>
          <w:p>
            <w:pPr>
              <w:pStyle w:val="ACGTableText"/>
            </w:pPr>
            <w:r>
              <w:t xml:space="preserve">Governing law</w:t>
            </w:r>
          </w:p>
        </w:tc>
        <w:tc>
          <w:tcPr>
            <w:tcW w:type="dxa" w:w="5260"/>
            <w:shd w:fill="FAF4E4" w:color="auto" w:val="clear"/>
            <w:tcMar>
              <w:top w:type="dxa" w:w="90"/>
              <w:left w:type="dxa" w:w="130"/>
              <w:bottom w:type="dxa" w:w="90"/>
              <w:right w:type="dxa" w:w="130"/>
            </w:tcMar>
            <w:vAlign w:val="center"/>
          </w:tcPr>
          <w:p>
            <w:pPr>
              <w:pStyle w:val="ACGTableText"/>
            </w:pPr>
            <w:r>
              <w:t xml:space="preserve">Utah law for Utah projects; national forms reviewed for conflicting indemnity terms</w:t>
            </w:r>
          </w:p>
        </w:tc>
        <w:tc>
          <w:tcPr>
            <w:tcW w:type="dxa" w:w="1800"/>
            <w:shd w:fill="FAF4E4" w:color="auto" w:val="clear"/>
            <w:tcMar>
              <w:top w:type="dxa" w:w="90"/>
              <w:left w:type="dxa" w:w="130"/>
              <w:bottom w:type="dxa" w:w="90"/>
              <w:right w:type="dxa" w:w="130"/>
            </w:tcMar>
            <w:vAlign w:val="center"/>
          </w:tcPr>
          <w:p>
            <w:pPr>
              <w:pStyle w:val="ACGTableText"/>
            </w:pPr>
            <w:r>
              <w:rPr>
                <w:b/>
                <w:bCs/>
              </w:rPr>
              <w:t xml:space="preserve">Critical</w:t>
            </w:r>
          </w:p>
        </w:tc>
      </w:tr>
      <w:tr>
        <w:trPr>
          <w:cantSplit/>
        </w:trPr>
        <w:tc>
          <w:tcPr>
            <w:tcW w:type="dxa" w:w="2300"/>
            <w:shd w:fill="FFFFFF" w:color="auto" w:val="clear"/>
            <w:tcMar>
              <w:top w:type="dxa" w:w="90"/>
              <w:left w:type="dxa" w:w="130"/>
              <w:bottom w:type="dxa" w:w="90"/>
              <w:right w:type="dxa" w:w="130"/>
            </w:tcMar>
            <w:vAlign w:val="center"/>
          </w:tcPr>
          <w:p>
            <w:pPr>
              <w:pStyle w:val="ACGTableText"/>
            </w:pPr>
            <w:r>
              <w:t xml:space="preserve">Workers’ comp proof</w:t>
            </w:r>
          </w:p>
        </w:tc>
        <w:tc>
          <w:tcPr>
            <w:tcW w:type="dxa" w:w="5260"/>
            <w:shd w:fill="FFFFFF" w:color="auto" w:val="clear"/>
            <w:tcMar>
              <w:top w:type="dxa" w:w="90"/>
              <w:left w:type="dxa" w:w="130"/>
              <w:bottom w:type="dxa" w:w="90"/>
              <w:right w:type="dxa" w:w="130"/>
            </w:tcMar>
            <w:vAlign w:val="center"/>
          </w:tcPr>
          <w:p>
            <w:pPr>
              <w:pStyle w:val="ACGTableText"/>
            </w:pPr>
            <w:r>
              <w:t xml:space="preserve">Current coverage, waiver, or compliance certification on file for every subcontractor</w:t>
            </w:r>
          </w:p>
        </w:tc>
        <w:tc>
          <w:tcPr>
            <w:tcW w:type="dxa" w:w="1800"/>
            <w:shd w:fill="FFFFFF" w:color="auto" w:val="clear"/>
            <w:tcMar>
              <w:top w:type="dxa" w:w="90"/>
              <w:left w:type="dxa" w:w="130"/>
              <w:bottom w:type="dxa" w:w="90"/>
              <w:right w:type="dxa" w:w="130"/>
            </w:tcMar>
            <w:vAlign w:val="center"/>
          </w:tcPr>
          <w:p>
            <w:pPr>
              <w:pStyle w:val="ACGTableText"/>
            </w:pPr>
            <w:r>
              <w:rPr>
                <w:b/>
                <w:bCs/>
              </w:rPr>
              <w:t xml:space="preserve">Critical</w:t>
            </w:r>
          </w:p>
        </w:tc>
      </w:tr>
      <w:tr>
        <w:trPr>
          <w:cantSplit/>
        </w:trPr>
        <w:tc>
          <w:tcPr>
            <w:tcW w:type="dxa" w:w="2300"/>
            <w:shd w:fill="FAF4E4" w:color="auto" w:val="clear"/>
            <w:tcMar>
              <w:top w:type="dxa" w:w="90"/>
              <w:left w:type="dxa" w:w="130"/>
              <w:bottom w:type="dxa" w:w="90"/>
              <w:right w:type="dxa" w:w="130"/>
            </w:tcMar>
            <w:vAlign w:val="center"/>
          </w:tcPr>
          <w:p>
            <w:pPr>
              <w:pStyle w:val="ACGTableText"/>
            </w:pPr>
            <w:r>
              <w:t xml:space="preserve">Additional insured</w:t>
            </w:r>
          </w:p>
        </w:tc>
        <w:tc>
          <w:tcPr>
            <w:tcW w:type="dxa" w:w="5260"/>
            <w:shd w:fill="FAF4E4" w:color="auto" w:val="clear"/>
            <w:tcMar>
              <w:top w:type="dxa" w:w="90"/>
              <w:left w:type="dxa" w:w="130"/>
              <w:bottom w:type="dxa" w:w="90"/>
              <w:right w:type="dxa" w:w="130"/>
            </w:tcMar>
            <w:vAlign w:val="center"/>
          </w:tcPr>
          <w:p>
            <w:pPr>
              <w:pStyle w:val="ACGTableText"/>
            </w:pPr>
            <w:r>
              <w:t xml:space="preserve">Endorsement forms named; ongoing and completed operations; primary and non-contributory</w:t>
            </w:r>
          </w:p>
        </w:tc>
        <w:tc>
          <w:tcPr>
            <w:tcW w:type="dxa" w:w="1800"/>
            <w:shd w:fill="FAF4E4" w:color="auto" w:val="clear"/>
            <w:tcMar>
              <w:top w:type="dxa" w:w="90"/>
              <w:left w:type="dxa" w:w="130"/>
              <w:bottom w:type="dxa" w:w="90"/>
              <w:right w:type="dxa" w:w="130"/>
            </w:tcMar>
            <w:vAlign w:val="center"/>
          </w:tcPr>
          <w:p>
            <w:pPr>
              <w:pStyle w:val="ACGTableText"/>
            </w:pPr>
            <w:r>
              <w:rPr>
                <w:b/>
                <w:bCs/>
              </w:rPr>
              <w:t xml:space="preserve">Critical</w:t>
            </w:r>
          </w:p>
        </w:tc>
      </w:tr>
      <w:tr>
        <w:trPr>
          <w:cantSplit/>
        </w:trPr>
        <w:tc>
          <w:tcPr>
            <w:tcW w:type="dxa" w:w="2300"/>
            <w:shd w:fill="FFFFFF" w:color="auto" w:val="clear"/>
            <w:tcMar>
              <w:top w:type="dxa" w:w="90"/>
              <w:left w:type="dxa" w:w="130"/>
              <w:bottom w:type="dxa" w:w="90"/>
              <w:right w:type="dxa" w:w="130"/>
            </w:tcMar>
            <w:vAlign w:val="center"/>
          </w:tcPr>
          <w:p>
            <w:pPr>
              <w:pStyle w:val="ACGTableText"/>
            </w:pPr>
            <w:r>
              <w:t xml:space="preserve">Incident notice</w:t>
            </w:r>
          </w:p>
        </w:tc>
        <w:tc>
          <w:tcPr>
            <w:tcW w:type="dxa" w:w="5260"/>
            <w:shd w:fill="FFFFFF" w:color="auto" w:val="clear"/>
            <w:tcMar>
              <w:top w:type="dxa" w:w="90"/>
              <w:left w:type="dxa" w:w="130"/>
              <w:bottom w:type="dxa" w:w="90"/>
              <w:right w:type="dxa" w:w="130"/>
            </w:tcMar>
            <w:vAlign w:val="center"/>
          </w:tcPr>
          <w:p>
            <w:pPr>
              <w:pStyle w:val="ACGTableText"/>
            </w:pPr>
            <w:r>
              <w:t xml:space="preserve">Immediate notice of serious events, fast enough to meet the 8-hour UOSH deadline</w:t>
            </w:r>
          </w:p>
        </w:tc>
        <w:tc>
          <w:tcPr>
            <w:tcW w:type="dxa" w:w="1800"/>
            <w:shd w:fill="FFFFFF" w:color="auto" w:val="clear"/>
            <w:tcMar>
              <w:top w:type="dxa" w:w="90"/>
              <w:left w:type="dxa" w:w="130"/>
              <w:bottom w:type="dxa" w:w="90"/>
              <w:right w:type="dxa" w:w="130"/>
            </w:tcMar>
            <w:vAlign w:val="center"/>
          </w:tcPr>
          <w:p>
            <w:pPr>
              <w:pStyle w:val="ACGTableText"/>
            </w:pPr>
            <w:r>
              <w:t xml:space="preserve">Important</w:t>
            </w:r>
          </w:p>
        </w:tc>
      </w:tr>
      <w:tr>
        <w:trPr>
          <w:cantSplit/>
        </w:trPr>
        <w:tc>
          <w:tcPr>
            <w:tcW w:type="dxa" w:w="2300"/>
            <w:shd w:fill="FAF4E4" w:color="auto" w:val="clear"/>
            <w:tcMar>
              <w:top w:type="dxa" w:w="90"/>
              <w:left w:type="dxa" w:w="130"/>
              <w:bottom w:type="dxa" w:w="90"/>
              <w:right w:type="dxa" w:w="130"/>
            </w:tcMar>
            <w:vAlign w:val="center"/>
          </w:tcPr>
          <w:p>
            <w:pPr>
              <w:pStyle w:val="ACGTableText"/>
            </w:pPr>
            <w:r>
              <w:t xml:space="preserve">Safety obligations</w:t>
            </w:r>
          </w:p>
        </w:tc>
        <w:tc>
          <w:tcPr>
            <w:tcW w:type="dxa" w:w="5260"/>
            <w:shd w:fill="FAF4E4" w:color="auto" w:val="clear"/>
            <w:tcMar>
              <w:top w:type="dxa" w:w="90"/>
              <w:left w:type="dxa" w:w="130"/>
              <w:bottom w:type="dxa" w:w="90"/>
              <w:right w:type="dxa" w:w="130"/>
            </w:tcMar>
            <w:vAlign w:val="center"/>
          </w:tcPr>
          <w:p>
            <w:pPr>
              <w:pStyle w:val="ACGTableText"/>
            </w:pPr>
            <w:r>
              <w:t xml:space="preserve">OSHA/UOSH compliance, competent persons, written programs, training records</w:t>
            </w:r>
          </w:p>
        </w:tc>
        <w:tc>
          <w:tcPr>
            <w:tcW w:type="dxa" w:w="1800"/>
            <w:shd w:fill="FAF4E4" w:color="auto" w:val="clear"/>
            <w:tcMar>
              <w:top w:type="dxa" w:w="90"/>
              <w:left w:type="dxa" w:w="130"/>
              <w:bottom w:type="dxa" w:w="90"/>
              <w:right w:type="dxa" w:w="130"/>
            </w:tcMar>
            <w:vAlign w:val="center"/>
          </w:tcPr>
          <w:p>
            <w:pPr>
              <w:pStyle w:val="ACGTableText"/>
            </w:pPr>
            <w:r>
              <w:t xml:space="preserve">Important</w:t>
            </w:r>
          </w:p>
        </w:tc>
      </w:tr>
      <w:tr>
        <w:trPr>
          <w:cantSplit/>
        </w:trPr>
        <w:tc>
          <w:tcPr>
            <w:tcW w:type="dxa" w:w="2300"/>
            <w:shd w:fill="FFFFFF" w:color="auto" w:val="clear"/>
            <w:tcMar>
              <w:top w:type="dxa" w:w="90"/>
              <w:left w:type="dxa" w:w="130"/>
              <w:bottom w:type="dxa" w:w="90"/>
              <w:right w:type="dxa" w:w="130"/>
            </w:tcMar>
            <w:vAlign w:val="center"/>
          </w:tcPr>
          <w:p>
            <w:pPr>
              <w:pStyle w:val="ACGTableText"/>
            </w:pPr>
            <w:r>
              <w:t xml:space="preserve">Control language</w:t>
            </w:r>
          </w:p>
        </w:tc>
        <w:tc>
          <w:tcPr>
            <w:tcW w:type="dxa" w:w="5260"/>
            <w:shd w:fill="FFFFFF" w:color="auto" w:val="clear"/>
            <w:tcMar>
              <w:top w:type="dxa" w:w="90"/>
              <w:left w:type="dxa" w:w="130"/>
              <w:bottom w:type="dxa" w:w="90"/>
              <w:right w:type="dxa" w:w="130"/>
            </w:tcMar>
            <w:vAlign w:val="center"/>
          </w:tcPr>
          <w:p>
            <w:pPr>
              <w:pStyle w:val="ACGTableText"/>
            </w:pPr>
            <w:r>
              <w:t xml:space="preserve">Matches how the site is actually run; supports inspection and graduated enforcement</w:t>
            </w:r>
          </w:p>
        </w:tc>
        <w:tc>
          <w:tcPr>
            <w:tcW w:type="dxa" w:w="1800"/>
            <w:shd w:fill="FFFFFF" w:color="auto" w:val="clear"/>
            <w:tcMar>
              <w:top w:type="dxa" w:w="90"/>
              <w:left w:type="dxa" w:w="130"/>
              <w:bottom w:type="dxa" w:w="90"/>
              <w:right w:type="dxa" w:w="130"/>
            </w:tcMar>
            <w:vAlign w:val="center"/>
          </w:tcPr>
          <w:p>
            <w:pPr>
              <w:pStyle w:val="ACGTableText"/>
            </w:pPr>
            <w:r>
              <w:t xml:space="preserve">Important</w:t>
            </w:r>
          </w:p>
        </w:tc>
      </w:tr>
      <w:tr>
        <w:trPr>
          <w:cantSplit/>
        </w:trPr>
        <w:tc>
          <w:tcPr>
            <w:tcW w:type="dxa" w:w="2300"/>
            <w:shd w:fill="FAF4E4" w:color="auto" w:val="clear"/>
            <w:tcMar>
              <w:top w:type="dxa" w:w="90"/>
              <w:left w:type="dxa" w:w="130"/>
              <w:bottom w:type="dxa" w:w="90"/>
              <w:right w:type="dxa" w:w="130"/>
            </w:tcMar>
            <w:vAlign w:val="center"/>
          </w:tcPr>
          <w:p>
            <w:pPr>
              <w:pStyle w:val="ACGTableText"/>
            </w:pPr>
            <w:r>
              <w:t xml:space="preserve">Waiver of subrogation</w:t>
            </w:r>
          </w:p>
        </w:tc>
        <w:tc>
          <w:tcPr>
            <w:tcW w:type="dxa" w:w="5260"/>
            <w:shd w:fill="FAF4E4" w:color="auto" w:val="clear"/>
            <w:tcMar>
              <w:top w:type="dxa" w:w="90"/>
              <w:left w:type="dxa" w:w="130"/>
              <w:bottom w:type="dxa" w:w="90"/>
              <w:right w:type="dxa" w:w="130"/>
            </w:tcMar>
            <w:vAlign w:val="center"/>
          </w:tcPr>
          <w:p>
            <w:pPr>
              <w:pStyle w:val="ACGTableText"/>
            </w:pPr>
            <w:r>
              <w:t xml:space="preserve">General liability, auto, and workers’ comp, with endorsements</w:t>
            </w:r>
          </w:p>
        </w:tc>
        <w:tc>
          <w:tcPr>
            <w:tcW w:type="dxa" w:w="1800"/>
            <w:shd w:fill="FAF4E4" w:color="auto" w:val="clear"/>
            <w:tcMar>
              <w:top w:type="dxa" w:w="90"/>
              <w:left w:type="dxa" w:w="130"/>
              <w:bottom w:type="dxa" w:w="90"/>
              <w:right w:type="dxa" w:w="130"/>
            </w:tcMar>
            <w:vAlign w:val="center"/>
          </w:tcPr>
          <w:p>
            <w:pPr>
              <w:pStyle w:val="ACGTableText"/>
            </w:pPr>
            <w:r>
              <w:t xml:space="preserve">Important</w:t>
            </w:r>
          </w:p>
        </w:tc>
      </w:tr>
      <w:tr>
        <w:trPr>
          <w:cantSplit/>
        </w:trPr>
        <w:tc>
          <w:tcPr>
            <w:tcW w:type="dxa" w:w="2300"/>
            <w:shd w:fill="FFFFFF" w:color="auto" w:val="clear"/>
            <w:tcMar>
              <w:top w:type="dxa" w:w="90"/>
              <w:left w:type="dxa" w:w="130"/>
              <w:bottom w:type="dxa" w:w="90"/>
              <w:right w:type="dxa" w:w="130"/>
            </w:tcMar>
            <w:vAlign w:val="center"/>
          </w:tcPr>
          <w:p>
            <w:pPr>
              <w:pStyle w:val="ACGTableText"/>
            </w:pPr>
            <w:r>
              <w:t xml:space="preserve">Stop-work and removal</w:t>
            </w:r>
          </w:p>
        </w:tc>
        <w:tc>
          <w:tcPr>
            <w:tcW w:type="dxa" w:w="5260"/>
            <w:shd w:fill="FFFFFF" w:color="auto" w:val="clear"/>
            <w:tcMar>
              <w:top w:type="dxa" w:w="90"/>
              <w:left w:type="dxa" w:w="130"/>
              <w:bottom w:type="dxa" w:w="90"/>
              <w:right w:type="dxa" w:w="130"/>
            </w:tcMar>
            <w:vAlign w:val="center"/>
          </w:tcPr>
          <w:p>
            <w:pPr>
              <w:pStyle w:val="ACGTableText"/>
            </w:pPr>
            <w:r>
              <w:t xml:space="preserve">Right to stop imminent hazards and remove repeat violators</w:t>
            </w:r>
          </w:p>
        </w:tc>
        <w:tc>
          <w:tcPr>
            <w:tcW w:type="dxa" w:w="1800"/>
            <w:shd w:fill="FFFFFF" w:color="auto" w:val="clear"/>
            <w:tcMar>
              <w:top w:type="dxa" w:w="90"/>
              <w:left w:type="dxa" w:w="130"/>
              <w:bottom w:type="dxa" w:w="90"/>
              <w:right w:type="dxa" w:w="130"/>
            </w:tcMar>
            <w:vAlign w:val="center"/>
          </w:tcPr>
          <w:p>
            <w:pPr>
              <w:pStyle w:val="ACGTableText"/>
            </w:pPr>
            <w:r>
              <w:t xml:space="preserve">Important</w:t>
            </w:r>
          </w:p>
        </w:tc>
      </w:tr>
      <w:tr>
        <w:trPr>
          <w:cantSplit/>
        </w:trPr>
        <w:tc>
          <w:tcPr>
            <w:tcW w:type="dxa" w:w="2300"/>
            <w:shd w:fill="FAF4E4" w:color="auto" w:val="clear"/>
            <w:tcMar>
              <w:top w:type="dxa" w:w="90"/>
              <w:left w:type="dxa" w:w="130"/>
              <w:bottom w:type="dxa" w:w="90"/>
              <w:right w:type="dxa" w:w="130"/>
            </w:tcMar>
            <w:vAlign w:val="center"/>
          </w:tcPr>
          <w:p>
            <w:pPr>
              <w:pStyle w:val="ACGTableText"/>
            </w:pPr>
            <w:r>
              <w:t xml:space="preserve">Penalty pass-through</w:t>
            </w:r>
          </w:p>
        </w:tc>
        <w:tc>
          <w:tcPr>
            <w:tcW w:type="dxa" w:w="5260"/>
            <w:shd w:fill="FAF4E4" w:color="auto" w:val="clear"/>
            <w:tcMar>
              <w:top w:type="dxa" w:w="90"/>
              <w:left w:type="dxa" w:w="130"/>
              <w:bottom w:type="dxa" w:w="90"/>
              <w:right w:type="dxa" w:w="130"/>
            </w:tcMar>
            <w:vAlign w:val="center"/>
          </w:tcPr>
          <w:p>
            <w:pPr>
              <w:pStyle w:val="ACGTableText"/>
            </w:pPr>
            <w:r>
              <w:t xml:space="preserve">Reimbursement of citations caused by subcontractor work, consistent with indemnity limits</w:t>
            </w:r>
          </w:p>
        </w:tc>
        <w:tc>
          <w:tcPr>
            <w:tcW w:type="dxa" w:w="1800"/>
            <w:shd w:fill="FAF4E4" w:color="auto" w:val="clear"/>
            <w:tcMar>
              <w:top w:type="dxa" w:w="90"/>
              <w:left w:type="dxa" w:w="130"/>
              <w:bottom w:type="dxa" w:w="90"/>
              <w:right w:type="dxa" w:w="130"/>
            </w:tcMar>
            <w:vAlign w:val="center"/>
          </w:tcPr>
          <w:p>
            <w:pPr>
              <w:pStyle w:val="ACGTableText"/>
            </w:pPr>
            <w:r>
              <w:t xml:space="preserve">Negotiable</w:t>
            </w:r>
          </w:p>
        </w:tc>
      </w:tr>
      <w:tr>
        <w:trPr>
          <w:cantSplit/>
        </w:trPr>
        <w:tc>
          <w:tcPr>
            <w:tcW w:type="dxa" w:w="2300"/>
            <w:shd w:fill="FFFFFF" w:color="auto" w:val="clear"/>
            <w:tcMar>
              <w:top w:type="dxa" w:w="90"/>
              <w:left w:type="dxa" w:w="130"/>
              <w:bottom w:type="dxa" w:w="90"/>
              <w:right w:type="dxa" w:w="130"/>
            </w:tcMar>
            <w:vAlign w:val="center"/>
          </w:tcPr>
          <w:p>
            <w:pPr>
              <w:pStyle w:val="ACGTableText"/>
            </w:pPr>
            <w:r>
              <w:t xml:space="preserve">Insurance limits</w:t>
            </w:r>
          </w:p>
        </w:tc>
        <w:tc>
          <w:tcPr>
            <w:tcW w:type="dxa" w:w="5260"/>
            <w:shd w:fill="FFFFFF" w:color="auto" w:val="clear"/>
            <w:tcMar>
              <w:top w:type="dxa" w:w="90"/>
              <w:left w:type="dxa" w:w="130"/>
              <w:bottom w:type="dxa" w:w="90"/>
              <w:right w:type="dxa" w:w="130"/>
            </w:tcMar>
            <w:vAlign w:val="center"/>
          </w:tcPr>
          <w:p>
            <w:pPr>
              <w:pStyle w:val="ACGTableText"/>
            </w:pPr>
            <w:r>
              <w:t xml:space="preserve">Match prime-contract flow-down requirements</w:t>
            </w:r>
          </w:p>
        </w:tc>
        <w:tc>
          <w:tcPr>
            <w:tcW w:type="dxa" w:w="1800"/>
            <w:shd w:fill="FFFFFF" w:color="auto" w:val="clear"/>
            <w:tcMar>
              <w:top w:type="dxa" w:w="90"/>
              <w:left w:type="dxa" w:w="130"/>
              <w:bottom w:type="dxa" w:w="90"/>
              <w:right w:type="dxa" w:w="130"/>
            </w:tcMar>
            <w:vAlign w:val="center"/>
          </w:tcPr>
          <w:p>
            <w:pPr>
              <w:pStyle w:val="ACGTableText"/>
            </w:pPr>
            <w:r>
              <w:t xml:space="preserve">Negotiable</w:t>
            </w:r>
          </w:p>
        </w:tc>
      </w:tr>
      <w:tr>
        <w:trPr>
          <w:cantSplit/>
        </w:trPr>
        <w:tc>
          <w:tcPr>
            <w:tcW w:type="dxa" w:w="2300"/>
            <w:shd w:fill="FAF4E4" w:color="auto" w:val="clear"/>
            <w:tcMar>
              <w:top w:type="dxa" w:w="90"/>
              <w:left w:type="dxa" w:w="130"/>
              <w:bottom w:type="dxa" w:w="90"/>
              <w:right w:type="dxa" w:w="130"/>
            </w:tcMar>
            <w:vAlign w:val="center"/>
          </w:tcPr>
          <w:p>
            <w:pPr>
              <w:pStyle w:val="ACGTableText"/>
            </w:pPr>
            <w:r>
              <w:t xml:space="preserve">Site plan by reference</w:t>
            </w:r>
          </w:p>
        </w:tc>
        <w:tc>
          <w:tcPr>
            <w:tcW w:type="dxa" w:w="5260"/>
            <w:shd w:fill="FAF4E4" w:color="auto" w:val="clear"/>
            <w:tcMar>
              <w:top w:type="dxa" w:w="90"/>
              <w:left w:type="dxa" w:w="130"/>
              <w:bottom w:type="dxa" w:w="90"/>
              <w:right w:type="dxa" w:w="130"/>
            </w:tcMar>
            <w:vAlign w:val="center"/>
          </w:tcPr>
          <w:p>
            <w:pPr>
              <w:pStyle w:val="ACGTableText"/>
            </w:pPr>
            <w:r>
              <w:t xml:space="preserve">Site-specific safety plan and orientation incorporated and acknowledged</w:t>
            </w:r>
          </w:p>
        </w:tc>
        <w:tc>
          <w:tcPr>
            <w:tcW w:type="dxa" w:w="1800"/>
            <w:shd w:fill="FAF4E4" w:color="auto" w:val="clear"/>
            <w:tcMar>
              <w:top w:type="dxa" w:w="90"/>
              <w:left w:type="dxa" w:w="130"/>
              <w:bottom w:type="dxa" w:w="90"/>
              <w:right w:type="dxa" w:w="130"/>
            </w:tcMar>
            <w:vAlign w:val="center"/>
          </w:tcPr>
          <w:p>
            <w:pPr>
              <w:pStyle w:val="ACGTableText"/>
            </w:pPr>
            <w:r>
              <w:t xml:space="preserve">Administrative</w:t>
            </w:r>
          </w:p>
        </w:tc>
      </w:tr>
      <w:tr>
        <w:trPr>
          <w:cantSplit/>
        </w:trPr>
        <w:tc>
          <w:tcPr>
            <w:tcW w:type="dxa" w:w="2300"/>
            <w:shd w:fill="FFFFFF" w:color="auto" w:val="clear"/>
            <w:tcMar>
              <w:top w:type="dxa" w:w="90"/>
              <w:left w:type="dxa" w:w="130"/>
              <w:bottom w:type="dxa" w:w="90"/>
              <w:right w:type="dxa" w:w="130"/>
            </w:tcMar>
            <w:vAlign w:val="center"/>
          </w:tcPr>
          <w:p>
            <w:pPr>
              <w:pStyle w:val="ACGTableText"/>
            </w:pPr>
            <w:r>
              <w:t xml:space="preserve">Flow-down</w:t>
            </w:r>
          </w:p>
        </w:tc>
        <w:tc>
          <w:tcPr>
            <w:tcW w:type="dxa" w:w="5260"/>
            <w:shd w:fill="FFFFFF" w:color="auto" w:val="clear"/>
            <w:tcMar>
              <w:top w:type="dxa" w:w="90"/>
              <w:left w:type="dxa" w:w="130"/>
              <w:bottom w:type="dxa" w:w="90"/>
              <w:right w:type="dxa" w:w="130"/>
            </w:tcMar>
            <w:vAlign w:val="center"/>
          </w:tcPr>
          <w:p>
            <w:pPr>
              <w:pStyle w:val="ACGTableText"/>
            </w:pPr>
            <w:r>
              <w:t xml:space="preserve">Same terms required in sub-subcontracts</w:t>
            </w:r>
          </w:p>
        </w:tc>
        <w:tc>
          <w:tcPr>
            <w:tcW w:type="dxa" w:w="1800"/>
            <w:shd w:fill="FFFFFF" w:color="auto" w:val="clear"/>
            <w:tcMar>
              <w:top w:type="dxa" w:w="90"/>
              <w:left w:type="dxa" w:w="130"/>
              <w:bottom w:type="dxa" w:w="90"/>
              <w:right w:type="dxa" w:w="130"/>
            </w:tcMar>
            <w:vAlign w:val="center"/>
          </w:tcPr>
          <w:p>
            <w:pPr>
              <w:pStyle w:val="ACGTableText"/>
            </w:pPr>
            <w:r>
              <w:t xml:space="preserve">Administrative</w:t>
            </w:r>
          </w:p>
        </w:tc>
      </w:tr>
    </w:tbl>
    <w:p>
      <w:pPr>
        <w:pStyle w:val="ACGBoxEnd"/>
      </w:pPr>
    </w:p>
    <w:p>
      <w:pPr>
        <w:pStyle w:val="Heading2"/>
      </w:pPr>
      <w:r>
        <w:t xml:space="preserve">Sources</w:t>
      </w:r>
    </w:p>
    <w:p>
      <w:pPr>
        <w:pStyle w:val="ACGFinePrint"/>
      </w:pPr>
      <w:r>
        <w:t xml:space="preserve">Utah Code § 13-8-1 · Utah Code § 34A-2-103 · OSHA Directive CPL 02-00-124 (Multi-Employer Citation Policy) · Utah Admin. Code R614-1-5. Current as of October 2026. Contract terms interact with each other and with policy language; have the full agreement reviewed before signing.</w:t>
      </w:r>
    </w:p>
    <w:p>
      <w:pPr>
        <w:pStyle w:val="ACGFinePrint"/>
      </w:pPr>
      <w:r>
        <w:t xml:space="preserve">Argyle Consulting Group, PLLC  ·  Bountiful, Utah  ·  devin@argylepllc.com</w:t>
      </w:r>
    </w:p>
    <w:sectPr>
      <w:headerReference w:type="default" r:id="rId7"/>
      <w:headerReference w:type="first" r:id="rId8"/>
      <w:footerReference w:type="default" r:id="rId9"/>
      <w:footerReference w:type="first" r:id="rId10"/>
      <w:pgSz w:w="12240" w:h="15840" w:orient="portrait"/>
      <w:pgMar w:top="1300" w:right="1440" w:bottom="1200" w:left="1440" w:header="600" w:footer="56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spacing w:after="0"/>
    </w:pPr>
    <w:r>
      <w:rPr>
        <w:rFonts w:ascii="Calibri" w:cs="Calibri" w:eastAsia="Calibri" w:hAnsi="Calibri"/>
        <w:i/>
        <w:iCs/>
        <w:color w:val="6B6B6B"/>
        <w:sz w:val="15"/>
        <w:szCs w:val="15"/>
      </w:rPr>
      <w:t xml:space="preserve">Built to win. Designed to protect.</w:t>
    </w:r>
    <w:r>
      <w:rPr>
        <w:rFonts w:ascii="Georgia" w:cs="Georgia" w:eastAsia="Georgia" w:hAnsi="Georgia"/>
        <w:b/>
        <w:bCs/>
        <w:color w:val="8A6212"/>
        <w:sz w:val="17"/>
        <w:szCs w:val="17"/>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932A" w:sz="6" w:space="4"/>
      </w:pBdr>
      <w:tabs>
        <w:tab w:val="right" w:pos="9360"/>
      </w:tabs>
      <w:spacing w:after="0"/>
    </w:pPr>
    <w:r>
      <w:drawing>
        <wp:inline distT="0" distB="0" distL="0" distR="0">
          <wp:extent cx="247650" cy="247650"/>
          <wp:effectExtent t="0" r="0" b="0" l="0"/>
          <wp:docPr id="10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47650" cy="247650"/>
                  </a:xfrm>
                  <a:prstGeom prst="rect">
                    <a:avLst/>
                  </a:prstGeom>
                </pic:spPr>
              </pic:pic>
            </a:graphicData>
          </a:graphic>
        </wp:inline>
      </w:drawing>
    </w:r>
    <w:r>
      <w:rPr>
        <w:rFonts w:ascii="Georgia" w:cs="Georgia" w:eastAsia="Georgia" w:hAnsi="Georgia"/>
        <w:b/>
        <w:bCs/>
        <w:color w:val="111110"/>
        <w:spacing w:val="30"/>
        <w:sz w:val="16"/>
        <w:szCs w:val="16"/>
      </w:rPr>
      <w:t xml:space="preserve">   ARGYLE CONSULTING GROUP</w:t>
    </w:r>
    <w:r>
      <w:rPr>
        <w:rFonts w:ascii="Georgia" w:cs="Georgia" w:eastAsia="Georgia" w:hAnsi="Georgia"/>
        <w:i/>
        <w:iCs/>
        <w:color w:val="8A6212"/>
        <w:sz w:val="16"/>
        <w:szCs w:val="16"/>
      </w:rPr>
      <w:t xml:space="preserve">	Subcontract Safety &amp; Risk Checklist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80"/>
      </w:pPr>
      <w:rPr>
        <w:rFonts w:ascii="Calibri" w:cs="Calibri" w:eastAsia="Calibri" w:hAnsi="Calibri"/>
        <w:color w:val="C9932A"/>
      </w:rPr>
    </w:lvl>
    <w:lvl w:ilvl="1" w15:tentative="1">
      <w:start w:val="1"/>
      <w:numFmt w:val="bullet"/>
      <w:lvlText w:val="–"/>
      <w:lvlJc w:val="left"/>
      <w:pPr>
        <w:ind w:left="920" w:hanging="280"/>
      </w:pPr>
      <w:rPr>
        <w:rFonts w:ascii="Calibri" w:cs="Calibri" w:eastAsia="Calibri" w:hAnsi="Calibri"/>
        <w:color w:val="8A6212"/>
      </w:rPr>
    </w:lvl>
  </w:abstractNum>
  <w:abstractNum w:abstractNumId="3" w15:restartNumberingAfterBreak="0">
    <w:multiLevelType w:val="hybridMultilevel"/>
    <w:lvl w:ilvl="0" w15:tentative="1">
      <w:start w:val="1"/>
      <w:numFmt w:val="decimal"/>
      <w:lvlText w:val="%1."/>
      <w:lvlJc w:val="left"/>
      <w:pPr>
        <w:ind w:left="460" w:hanging="340"/>
      </w:pPr>
      <w:rPr>
        <w:rFonts w:ascii="Georgia" w:cs="Georgia" w:eastAsia="Georgia" w:hAnsi="Georgia"/>
        <w:b/>
        <w:bCs/>
        <w:color w:val="8A621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62626"/>
        <w:sz w:val="21"/>
        <w:szCs w:val="21"/>
      </w:rPr>
    </w:rPrDefault>
    <w:pPrDefault/>
  </w:docDefaults>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pPr>
      <w:spacing w:after="140" w:line="288" w:lineRule="auto"/>
    </w:pPr>
    <w:rPr>
      <w:rFonts w:ascii="Calibri" w:cs="Calibri" w:eastAsia="Calibri" w:hAnsi="Calibri"/>
      <w:color w:val="262626"/>
      <w:sz w:val="21"/>
      <w:szCs w:val="21"/>
    </w:rPr>
  </w:style>
  <w:style w:type="paragraph" w:styleId="Title">
    <w:name w:val="Title"/>
    <w:basedOn w:val="Normal"/>
    <w:next w:val="Normal"/>
    <w:qFormat/>
    <w:pPr>
      <w:spacing w:after="160" w:line="240" w:lineRule="auto"/>
    </w:pPr>
    <w:rPr>
      <w:rFonts w:ascii="Georgia" w:cs="Georgia" w:eastAsia="Georgia" w:hAnsi="Georgia"/>
      <w:b/>
      <w:bCs/>
      <w:color w:val="111110"/>
      <w:sz w:val="64"/>
      <w:szCs w:val="64"/>
    </w:rPr>
  </w:style>
  <w:style w:type="paragraph" w:styleId="Subtitle">
    <w:name w:val="Subtitle"/>
    <w:basedOn w:val="Normal"/>
    <w:next w:val="Normal"/>
    <w:qFormat/>
    <w:pPr>
      <w:pBdr>
        <w:bottom w:val="single" w:color="C9932A" w:sz="12" w:space="14"/>
      </w:pBdr>
      <w:spacing w:after="300"/>
    </w:pPr>
    <w:rPr>
      <w:rFonts w:ascii="Georgia" w:cs="Georgia" w:eastAsia="Georgia" w:hAnsi="Georgia"/>
      <w:i/>
      <w:iCs/>
      <w:color w:val="262626"/>
      <w:sz w:val="28"/>
      <w:szCs w:val="28"/>
    </w:rPr>
  </w:style>
  <w:style w:type="paragraph" w:styleId="Heading1">
    <w:name w:val="Heading 1"/>
    <w:basedOn w:val="Normal"/>
    <w:next w:val="Normal"/>
    <w:qFormat/>
    <w:pPr>
      <w:keepNext/>
      <w:keepLines/>
      <w:pBdr>
        <w:bottom w:val="single" w:color="C9932A" w:sz="12" w:space="6"/>
      </w:pBdr>
      <w:spacing w:after="220" w:before="520" w:line="240" w:lineRule="auto"/>
      <w:outlineLvl w:val="0"/>
    </w:pPr>
    <w:rPr>
      <w:rFonts w:ascii="Georgia" w:cs="Georgia" w:eastAsia="Georgia" w:hAnsi="Georgia"/>
      <w:b/>
      <w:bCs/>
      <w:color w:val="111110"/>
      <w:sz w:val="36"/>
      <w:szCs w:val="36"/>
    </w:rPr>
  </w:style>
  <w:style w:type="paragraph" w:styleId="Heading2">
    <w:name w:val="Heading 2"/>
    <w:basedOn w:val="Normal"/>
    <w:next w:val="Normal"/>
    <w:qFormat/>
    <w:pPr>
      <w:keepNext/>
      <w:keepLines/>
      <w:spacing w:after="110" w:before="260" w:line="240" w:lineRule="auto"/>
      <w:outlineLvl w:val="1"/>
    </w:pPr>
    <w:rPr>
      <w:rFonts w:ascii="Georgia" w:cs="Georgia" w:eastAsia="Georgia" w:hAnsi="Georgia"/>
      <w:b/>
      <w:bCs/>
      <w:color w:val="8A6212"/>
      <w:sz w:val="25"/>
      <w:szCs w:val="25"/>
    </w:rPr>
  </w:style>
  <w:style w:type="paragraph" w:styleId="Heading3">
    <w:name w:val="Heading 3"/>
    <w:basedOn w:val="Normal"/>
    <w:next w:val="Normal"/>
    <w:qFormat/>
    <w:pPr>
      <w:keepNext/>
      <w:spacing w:after="80" w:before="200"/>
      <w:outlineLvl w:val="2"/>
    </w:pPr>
    <w:rPr>
      <w:rFonts w:ascii="Calibri" w:cs="Calibri" w:eastAsia="Calibri" w:hAnsi="Calibri"/>
      <w:b/>
      <w:bCs/>
      <w:color w:val="111110"/>
      <w:sz w:val="22"/>
      <w:szCs w:val="22"/>
    </w:rPr>
  </w:style>
  <w:style w:type="paragraph" w:styleId="ACGEyebrow">
    <w:name w:val="ACG Eyebrow"/>
    <w:basedOn w:val="Normal"/>
    <w:next w:val="Normal"/>
    <w:qFormat/>
    <w:pPr>
      <w:keepNext/>
      <w:spacing w:after="60"/>
    </w:pPr>
    <w:rPr>
      <w:rFonts w:ascii="Calibri" w:cs="Calibri" w:eastAsia="Calibri" w:hAnsi="Calibri"/>
      <w:b/>
      <w:bCs/>
      <w:caps/>
      <w:color w:val="8A6212"/>
      <w:spacing w:val="60"/>
      <w:sz w:val="20"/>
      <w:szCs w:val="20"/>
    </w:rPr>
  </w:style>
  <w:style w:type="paragraph" w:styleId="ACGSectionNumber">
    <w:name w:val="ACG Section Number"/>
    <w:basedOn w:val="Normal"/>
    <w:next w:val="Normal"/>
    <w:qFormat/>
    <w:rPr>
      <w:rFonts w:ascii="Georgia" w:cs="Georgia" w:eastAsia="Georgia" w:hAnsi="Georgia"/>
      <w:b/>
      <w:bCs/>
      <w:color w:val="C9932A"/>
    </w:rPr>
  </w:style>
  <w:style w:type="paragraph" w:styleId="ACGFinePrint">
    <w:name w:val="ACG Fine Print"/>
    <w:basedOn w:val="Normal"/>
    <w:next w:val="Normal"/>
    <w:qFormat/>
    <w:pPr>
      <w:spacing w:after="60"/>
    </w:pPr>
    <w:rPr>
      <w:rFonts w:ascii="Calibri" w:cs="Calibri" w:eastAsia="Calibri" w:hAnsi="Calibri"/>
      <w:i/>
      <w:iCs/>
      <w:color w:val="6B6B6B"/>
      <w:sz w:val="16"/>
      <w:szCs w:val="16"/>
    </w:rPr>
  </w:style>
  <w:style w:type="paragraph" w:styleId="ACGTableText">
    <w:name w:val="ACG Table Text"/>
    <w:basedOn w:val="Normal"/>
    <w:next w:val="Normal"/>
    <w:qFormat/>
    <w:pPr>
      <w:spacing w:after="0" w:line="264" w:lineRule="auto"/>
    </w:pPr>
    <w:rPr>
      <w:rFonts w:ascii="Calibri" w:cs="Calibri" w:eastAsia="Calibri" w:hAnsi="Calibri"/>
      <w:color w:val="262626"/>
      <w:sz w:val="19"/>
      <w:szCs w:val="19"/>
    </w:rPr>
  </w:style>
  <w:style w:type="paragraph" w:styleId="ACGCalloutDark">
    <w:name w:val="ACG Callout Dark"/>
    <w:basedOn w:val="Normal"/>
    <w:next w:val="Normal"/>
    <w:qFormat/>
    <w:pPr>
      <w:pBdr>
        <w:top w:val="single" w:color="111110" w:sz="6" w:space="8"/>
        <w:left w:val="single" w:color="C9932A" w:sz="36" w:space="12"/>
        <w:bottom w:val="single" w:color="111110" w:sz="6" w:space="8"/>
        <w:right w:val="single" w:color="111110" w:sz="6" w:space="12"/>
      </w:pBdr>
      <w:shd w:fill="111110" w:color="auto" w:val="clear"/>
      <w:spacing w:after="0" w:before="0" w:line="288" w:lineRule="auto"/>
      <w:ind w:left="300" w:right="300"/>
    </w:pPr>
    <w:rPr>
      <w:rFonts w:ascii="Calibri" w:cs="Calibri" w:eastAsia="Calibri" w:hAnsi="Calibri"/>
      <w:color w:val="E8E2D2"/>
      <w:sz w:val="20"/>
      <w:szCs w:val="20"/>
    </w:rPr>
  </w:style>
  <w:style w:type="paragraph" w:styleId="ACGCalloutDarkLabel">
    <w:name w:val="ACG Callout Dark Label"/>
    <w:basedOn w:val="Normal"/>
    <w:next w:val="ACGCalloutDarkTitle"/>
    <w:qFormat/>
    <w:pPr>
      <w:keepNext/>
      <w:pBdr>
        <w:top w:val="single" w:color="111110" w:sz="6" w:space="8"/>
        <w:left w:val="single" w:color="C9932A" w:sz="36" w:space="12"/>
        <w:bottom w:val="single" w:color="111110" w:sz="6" w:space="8"/>
        <w:right w:val="single" w:color="111110" w:sz="6" w:space="12"/>
      </w:pBdr>
      <w:shd w:fill="111110" w:color="auto" w:val="clear"/>
      <w:spacing w:after="60" w:before="0"/>
      <w:ind w:left="300" w:right="300"/>
    </w:pPr>
    <w:rPr>
      <w:rFonts w:ascii="Calibri" w:cs="Calibri" w:eastAsia="Calibri" w:hAnsi="Calibri"/>
      <w:b/>
      <w:bCs/>
      <w:caps/>
      <w:color w:val="F0C050"/>
      <w:spacing w:val="40"/>
      <w:sz w:val="17"/>
      <w:szCs w:val="17"/>
    </w:rPr>
  </w:style>
  <w:style w:type="paragraph" w:styleId="ACGCalloutDarkTitle">
    <w:name w:val="ACG Callout Dark Title"/>
    <w:basedOn w:val="Normal"/>
    <w:next w:val="ACGCalloutDark"/>
    <w:qFormat/>
    <w:pPr>
      <w:keepNext/>
      <w:pBdr>
        <w:top w:val="single" w:color="111110" w:sz="6" w:space="8"/>
        <w:left w:val="single" w:color="C9932A" w:sz="36" w:space="12"/>
        <w:bottom w:val="single" w:color="111110" w:sz="6" w:space="8"/>
        <w:right w:val="single" w:color="111110" w:sz="6" w:space="12"/>
      </w:pBdr>
      <w:shd w:fill="111110" w:color="auto" w:val="clear"/>
      <w:spacing w:after="80" w:before="0"/>
      <w:ind w:left="300" w:right="300"/>
    </w:pPr>
    <w:rPr>
      <w:rFonts w:ascii="Georgia" w:cs="Georgia" w:eastAsia="Georgia" w:hAnsi="Georgia"/>
      <w:b/>
      <w:bCs/>
      <w:color w:val="FFFFFF"/>
      <w:sz w:val="24"/>
      <w:szCs w:val="24"/>
    </w:rPr>
  </w:style>
  <w:style w:type="paragraph" w:styleId="ACGCalloutLight">
    <w:name w:val="ACG Callout Light"/>
    <w:basedOn w:val="Normal"/>
    <w:next w:val="Normal"/>
    <w:qFormat/>
    <w:pPr>
      <w:pBdr>
        <w:top w:val="single" w:color="FAF4E4" w:sz="6" w:space="8"/>
        <w:left w:val="single" w:color="C9932A" w:sz="36" w:space="12"/>
        <w:bottom w:val="single" w:color="FAF4E4" w:sz="6" w:space="8"/>
        <w:right w:val="single" w:color="FAF4E4" w:sz="6" w:space="12"/>
      </w:pBdr>
      <w:shd w:fill="FAF4E4" w:color="auto" w:val="clear"/>
      <w:spacing w:after="0" w:before="0" w:line="288" w:lineRule="auto"/>
      <w:ind w:left="300" w:right="300"/>
    </w:pPr>
    <w:rPr>
      <w:rFonts w:ascii="Calibri" w:cs="Calibri" w:eastAsia="Calibri" w:hAnsi="Calibri"/>
      <w:color w:val="262626"/>
      <w:sz w:val="20"/>
      <w:szCs w:val="20"/>
    </w:rPr>
  </w:style>
  <w:style w:type="paragraph" w:styleId="ACGCalloutLightLabel">
    <w:name w:val="ACG Callout Light Label"/>
    <w:basedOn w:val="Normal"/>
    <w:next w:val="ACGCalloutLightTitle"/>
    <w:qFormat/>
    <w:pPr>
      <w:keepNext/>
      <w:pBdr>
        <w:top w:val="single" w:color="FAF4E4" w:sz="6" w:space="8"/>
        <w:left w:val="single" w:color="C9932A" w:sz="36" w:space="12"/>
        <w:bottom w:val="single" w:color="FAF4E4" w:sz="6" w:space="8"/>
        <w:right w:val="single" w:color="FAF4E4" w:sz="6" w:space="12"/>
      </w:pBdr>
      <w:shd w:fill="FAF4E4" w:color="auto" w:val="clear"/>
      <w:spacing w:after="60" w:before="0"/>
      <w:ind w:left="300" w:right="300"/>
    </w:pPr>
    <w:rPr>
      <w:rFonts w:ascii="Calibri" w:cs="Calibri" w:eastAsia="Calibri" w:hAnsi="Calibri"/>
      <w:b/>
      <w:bCs/>
      <w:caps/>
      <w:color w:val="8A6212"/>
      <w:spacing w:val="40"/>
      <w:sz w:val="17"/>
      <w:szCs w:val="17"/>
    </w:rPr>
  </w:style>
  <w:style w:type="paragraph" w:styleId="ACGCalloutLightTitle">
    <w:name w:val="ACG Callout Light Title"/>
    <w:basedOn w:val="Normal"/>
    <w:next w:val="ACGCalloutLight"/>
    <w:qFormat/>
    <w:pPr>
      <w:keepNext/>
      <w:pBdr>
        <w:top w:val="single" w:color="FAF4E4" w:sz="6" w:space="8"/>
        <w:left w:val="single" w:color="C9932A" w:sz="36" w:space="12"/>
        <w:bottom w:val="single" w:color="FAF4E4" w:sz="6" w:space="8"/>
        <w:right w:val="single" w:color="FAF4E4" w:sz="6" w:space="12"/>
      </w:pBdr>
      <w:shd w:fill="FAF4E4" w:color="auto" w:val="clear"/>
      <w:spacing w:after="80" w:before="0"/>
      <w:ind w:left="300" w:right="300"/>
    </w:pPr>
    <w:rPr>
      <w:rFonts w:ascii="Georgia" w:cs="Georgia" w:eastAsia="Georgia" w:hAnsi="Georgia"/>
      <w:b/>
      <w:bCs/>
      <w:color w:val="111110"/>
      <w:sz w:val="23"/>
      <w:szCs w:val="23"/>
    </w:rPr>
  </w:style>
  <w:style w:type="paragraph" w:styleId="Quote">
    <w:name w:val="Quote"/>
    <w:basedOn w:val="Normal"/>
    <w:next w:val="Normal"/>
    <w:qFormat/>
    <w:pPr>
      <w:pBdr>
        <w:top w:val="single" w:color="F3F3F1" w:sz="6" w:space="8"/>
        <w:left w:val="single" w:color="C9932A" w:sz="18" w:space="12"/>
        <w:bottom w:val="single" w:color="F3F3F1" w:sz="6" w:space="8"/>
        <w:right w:val="single" w:color="F3F3F1" w:sz="6" w:space="12"/>
      </w:pBdr>
      <w:shd w:fill="F3F3F1" w:color="auto" w:val="clear"/>
      <w:spacing w:after="0" w:before="0" w:line="288" w:lineRule="auto"/>
      <w:ind w:left="300" w:right="300"/>
    </w:pPr>
    <w:rPr>
      <w:rFonts w:ascii="Georgia" w:cs="Georgia" w:eastAsia="Georgia" w:hAnsi="Georgia"/>
      <w:i/>
      <w:iCs/>
      <w:color w:val="262626"/>
      <w:sz w:val="20"/>
      <w:szCs w:val="20"/>
    </w:rPr>
  </w:style>
  <w:style w:type="paragraph" w:styleId="ACGQuoteLabel">
    <w:name w:val="ACG Quote Label"/>
    <w:basedOn w:val="Normal"/>
    <w:next w:val="Quote"/>
    <w:qFormat/>
    <w:pPr>
      <w:keepNext/>
      <w:pBdr>
        <w:top w:val="single" w:color="F3F3F1" w:sz="6" w:space="8"/>
        <w:left w:val="single" w:color="C9932A" w:sz="18" w:space="12"/>
        <w:bottom w:val="single" w:color="F3F3F1" w:sz="6" w:space="8"/>
        <w:right w:val="single" w:color="F3F3F1" w:sz="6" w:space="12"/>
      </w:pBdr>
      <w:shd w:fill="F3F3F1" w:color="auto" w:val="clear"/>
      <w:spacing w:after="60" w:before="0"/>
      <w:ind w:left="300" w:right="300"/>
    </w:pPr>
    <w:rPr>
      <w:rFonts w:ascii="Calibri" w:cs="Calibri" w:eastAsia="Calibri" w:hAnsi="Calibri"/>
      <w:b/>
      <w:bCs/>
      <w:caps/>
      <w:color w:val="6B6B6B"/>
      <w:spacing w:val="40"/>
      <w:sz w:val="16"/>
      <w:szCs w:val="16"/>
    </w:rPr>
  </w:style>
  <w:style w:type="paragraph" w:styleId="ACGTemplateText">
    <w:name w:val="ACG Template Text"/>
    <w:basedOn w:val="Normal"/>
    <w:next w:val="Normal"/>
    <w:qFormat/>
    <w:pPr>
      <w:pBdr>
        <w:top w:val="single" w:color="FBF8F0" w:sz="6" w:space="8"/>
        <w:left w:val="single" w:color="C9932A" w:sz="24" w:space="12"/>
        <w:bottom w:val="single" w:color="FBF8F0" w:sz="6" w:space="8"/>
        <w:right w:val="single" w:color="FBF8F0" w:sz="6" w:space="12"/>
      </w:pBdr>
      <w:shd w:fill="FBF8F0" w:color="auto" w:val="clear"/>
      <w:spacing w:after="60" w:before="0" w:line="252" w:lineRule="auto"/>
      <w:ind w:left="300" w:right="300"/>
    </w:pPr>
    <w:rPr>
      <w:rFonts w:ascii="Georgia" w:cs="Georgia" w:eastAsia="Georgia" w:hAnsi="Georgia"/>
      <w:color w:val="262626"/>
      <w:sz w:val="18"/>
      <w:szCs w:val="18"/>
    </w:rPr>
  </w:style>
  <w:style w:type="paragraph" w:styleId="ACGBoxEnd">
    <w:name w:val="ACG Space After Box"/>
    <w:basedOn w:val="Normal"/>
    <w:next w:val="Normal"/>
    <w:qFormat/>
    <w:pPr>
      <w:spacing w:after="160" w:before="0"/>
    </w:pPr>
    <w:rPr>
      <w:sz w:val="12"/>
      <w:szCs w:val="12"/>
    </w:rPr>
  </w:style>
  <w:style w:type="paragraph" w:styleId="ListBullet">
    <w:name w:val="List Bullet"/>
    <w:basedOn w:val="Normal"/>
    <w:next w:val="Normal"/>
    <w:qFormat/>
    <w:pPr>
      <w:numPr>
        <w:numId w:val="2"/>
      </w:numPr>
      <w:spacing w:after="70" w:line="276" w:lineRule="auto"/>
      <w:ind w:left="460" w:hanging="280"/>
    </w:pPr>
  </w:style>
  <w:style w:type="paragraph" w:styleId="ListNumber">
    <w:name w:val="List Number"/>
    <w:basedOn w:val="Normal"/>
    <w:next w:val="Normal"/>
    <w:qFormat/>
    <w:pPr>
      <w:numPr>
        <w:numId w:val="3"/>
      </w:numPr>
      <w:spacing w:after="80" w:line="276" w:lineRule="auto"/>
      <w:ind w:left="460" w:hanging="340"/>
    </w:p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customStyle="1" w:styleId="ACGTable">
    <w:name w:val="ACG Table"/>
    <w:basedOn w:val="TableNormal"/>
    <w:uiPriority w:val="40"/>
    <w:qFormat/>
    <w:pPr>
      <w:spacing w:after="0" w:line="264" w:lineRule="auto"/>
    </w:pPr>
    <w:rPr>
      <w:rFonts w:ascii="Calibri" w:hAnsi="Calibri" w:cs="Calibri"/>
      <w:color w:val="262626"/>
      <w:sz w:val="19"/>
      <w:szCs w:val="19"/>
    </w:rPr>
    <w:tblPr>
      <w:tblStyleRowBandSize w:val="1"/>
      <w:tblBorders>
        <w:top w:val="single" w:sz="4" w:space="0" w:color="D9CCA8"/>
        <w:left w:val="nil"/>
        <w:bottom w:val="single" w:sz="10" w:space="0" w:color="C9932A"/>
        <w:right w:val="nil"/>
        <w:insideH w:val="single" w:sz="4" w:space="0" w:color="D9CCA8"/>
        <w:insideV w:val="nil"/>
      </w:tblBorders>
      <w:tblCellMar>
        <w:top w:w="90" w:type="dxa"/>
        <w:left w:w="130" w:type="dxa"/>
        <w:bottom w:w="90" w:type="dxa"/>
        <w:right w:w="130" w:type="dxa"/>
      </w:tblCellMar>
    </w:tblPr>
    <w:tcPr>
      <w:vAlign w:val="center"/>
    </w:tcPr>
    <w:tblStylePr w:type="firstRow">
      <w:rPr>
        <w:b/>
        <w:bCs/>
        <w:color w:val="F0C050"/>
      </w:rPr>
      <w:tblPr/>
      <w:trPr>
        <w:tblHeader/>
      </w:trPr>
      <w:tcPr>
        <w:shd w:val="clear" w:color="auto" w:fill="111110"/>
      </w:tcPr>
    </w:tblStylePr>
    <w:tblStylePr w:type="band2Horz">
      <w:tblPr/>
      <w:tcPr>
        <w:shd w:val="clear" w:color="auto" w:fill="FAF4E4"/>
      </w:tcPr>
    </w:tblStyle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35331be916ba57af64cce5cf687f4b28fe5f916b.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8505e13edd2e2aee9e5703ab14d11d34963a9b5.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Subcontract Safety &amp; Risk Clause Checklist</dc:title>
  <dc:creator>Argyle Consulting Group, PLLC</dc:creator>
  <dc:description>Argyle Consulting Group branded Word template</dc:description>
  <cp:lastModifiedBy>Un-named</cp:lastModifiedBy>
  <cp:revision>1</cp:revision>
  <dcterms:created xsi:type="dcterms:W3CDTF">2026-10-07T08:55:27.870Z</dcterms:created>
  <dcterms:modified xsi:type="dcterms:W3CDTF">2026-10-07T08:55:27.870Z</dcterms:modified>
</cp:coreProperties>
</file>

<file path=docProps/custom.xml><?xml version="1.0" encoding="utf-8"?>
<Properties xmlns="http://schemas.openxmlformats.org/officeDocument/2006/custom-properties" xmlns:vt="http://schemas.openxmlformats.org/officeDocument/2006/docPropsVTypes"/>
</file>