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c>
          <w:tcPr>
            <w:tcW w:type="dxa" w:w="9360"/>
            <w:tcBorders>
              <w:top w:val="none" w:color="FFFFFF" w:sz="0"/>
              <w:left w:val="none" w:color="FFFFFF" w:sz="0"/>
              <w:bottom w:val="single" w:color="C9932A" w:sz="24"/>
              <w:right w:val="none" w:color="FFFFFF" w:sz="0"/>
            </w:tcBorders>
            <w:shd w:fill="0B0B0A" w:color="auto" w:val="clear"/>
            <w:tcMar>
              <w:top w:type="dxa" w:w="500"/>
              <w:left w:type="dxa" w:w="300"/>
              <w:bottom w:type="dxa" w:w="500"/>
              <w:right w:type="dxa" w:w="300"/>
            </w:tcMar>
          </w:tcPr>
          <w:p>
            <w:pPr>
              <w:spacing w:after="0"/>
              <w:jc w:val="center"/>
            </w:pPr>
            <w:r>
              <w:drawing>
                <wp:inline distT="0" distB="0" distL="0" distR="0">
                  <wp:extent cx="5143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714500"/>
                          </a:xfrm>
                          <a:prstGeom prst="rect">
                            <a:avLst/>
                          </a:prstGeom>
                        </pic:spPr>
                      </pic:pic>
                    </a:graphicData>
                  </a:graphic>
                </wp:inline>
              </w:drawing>
            </w:r>
          </w:p>
        </w:tc>
      </w:tr>
    </w:tbl>
    <w:p>
      <w:pPr>
        <w:spacing w:after="900"/>
      </w:pPr>
    </w:p>
    <w:p>
      <w:pPr>
        <w:pStyle w:val="ACGEyebrow"/>
      </w:pPr>
      <w:r>
        <w:t xml:space="preserve">AN INCIDENT RESPONSE GUIDE</w:t>
      </w:r>
    </w:p>
    <w:p>
      <w:pPr>
        <w:pStyle w:val="Title"/>
      </w:pPr>
      <w:r>
        <w:t xml:space="preserve">Protecting the Record After a Serious Incident</w:t>
      </w:r>
    </w:p>
    <w:p>
      <w:pPr>
        <w:pStyle w:val="Subtitle"/>
      </w:pPr>
      <w:r>
        <w:t xml:space="preserve">Reporting clocks, evidence, privilege, and reports that hold up later.</w:t>
      </w:r>
    </w:p>
    <w:p>
      <w:pPr>
        <w:pStyle w:val="Normal"/>
      </w:pPr>
      <w:r>
        <w:t xml:space="preserve">For owners, safety managers, and supervisors in the first days after a serious workplace incident.</w:t>
      </w:r>
    </w:p>
    <w:p>
      <w:pPr>
        <w:spacing w:after="1500"/>
      </w:pPr>
    </w:p>
    <w:p>
      <w:pPr>
        <w:spacing w:after="40"/>
      </w:pPr>
      <w:r>
        <w:rPr>
          <w:rFonts w:ascii="Georgia" w:cs="Georgia" w:eastAsia="Georgia" w:hAnsi="Georgia"/>
          <w:b/>
          <w:bCs/>
          <w:color w:val="111110"/>
        </w:rPr>
        <w:t xml:space="preserve">Devin Argyle, Attorney at Law</w:t>
      </w:r>
    </w:p>
    <w:p>
      <w:pPr>
        <w:spacing w:after="40"/>
      </w:pPr>
      <w:r>
        <w:rPr>
          <w:color w:val="6B6B6B"/>
          <w:sz w:val="20"/>
          <w:szCs w:val="20"/>
        </w:rPr>
        <w:t xml:space="preserve">Argyle Consulting Group, PLLC  |  Bountiful, Utah</w:t>
      </w:r>
    </w:p>
    <w:p>
      <w:pPr>
        <w:spacing w:after="400"/>
      </w:pPr>
      <w:r>
        <w:rPr>
          <w:color w:val="6B6B6B"/>
          <w:sz w:val="20"/>
          <w:szCs w:val="20"/>
        </w:rPr>
        <w:t xml:space="preserve">October 2026</w:t>
      </w:r>
    </w:p>
    <w:p>
      <w:pPr>
        <w:pStyle w:val="ACGFinePrint"/>
      </w:pPr>
      <w:r>
        <w:t xml:space="preserve">General information only, not legal advice. Reading or using this guide does not create an attorney-client relationship. Facts and deadlines in a specific matter can change the right answer.</w:t>
      </w:r>
    </w:p>
    <w:p>
      <w:pPr>
        <w:pStyle w:val="Heading1"/>
        <w:pageBreakBefore/>
        <w:spacing w:before="0"/>
      </w:pPr>
      <w:r>
        <w:rPr>
          <w:color w:val="C9932A"/>
        </w:rPr>
        <w:t xml:space="preserve">01  </w:t>
      </w:r>
      <w:r>
        <w:t xml:space="preserve">The first hours</w:t>
      </w:r>
    </w:p>
    <w:p>
      <w:r>
        <w:t xml:space="preserve">People first, then the scene, then the reporting clock. In Utah, that clock is 8 hours for most serious events.</w:t>
      </w:r>
    </w:p>
    <w:p>
      <w:pPr>
        <w:pStyle w:val="ListNumber"/>
        <w:numPr>
          <w:ilvl w:val="0"/>
          <w:numId w:val="10"/>
        </w:numPr>
      </w:pPr>
      <w:r>
        <w:rPr>
          <w:b/>
          <w:bCs/>
        </w:rPr>
        <w:t xml:space="preserve">Care for the injured</w:t>
      </w:r>
      <w:r>
        <w:t xml:space="preserve"> and protect everyone else from the same hazard. Nothing in this guide outranks that.</w:t>
      </w:r>
    </w:p>
    <w:p>
      <w:pPr>
        <w:pStyle w:val="ListNumber"/>
        <w:numPr>
          <w:ilvl w:val="0"/>
          <w:numId w:val="10"/>
        </w:numPr>
      </w:pPr>
      <w:r>
        <w:rPr>
          <w:b/>
          <w:bCs/>
        </w:rPr>
        <w:t xml:space="preserve">Secure the scene.</w:t>
      </w:r>
      <w:r>
        <w:t xml:space="preserve"> Stop work in the area. Leave equipment, materials, and conditions as they are unless changing them is needed to prevent further harm.</w:t>
      </w:r>
    </w:p>
    <w:p>
      <w:pPr>
        <w:pStyle w:val="ListNumber"/>
        <w:numPr>
          <w:ilvl w:val="0"/>
          <w:numId w:val="10"/>
        </w:numPr>
      </w:pPr>
      <w:r>
        <w:rPr>
          <w:b/>
          <w:bCs/>
        </w:rPr>
        <w:t xml:space="preserve">Report on time.</w:t>
      </w:r>
      <w:r>
        <w:t xml:space="preserve"> Federal OSHA: 8 hours for a fatality; 24 hours for an in-patient hospitalization, amputation, or loss of an eye (29 C.F.R. § 1904.39). Utah: notify UOSH within 8 hours of a fatality or any disabling, serious, or significant injury or occupational disease incident (R614-1-5). Report the facts known; don’t speculate about cause.</w:t>
      </w:r>
    </w:p>
    <w:p>
      <w:pPr>
        <w:pStyle w:val="ListNumber"/>
        <w:numPr>
          <w:ilvl w:val="0"/>
          <w:numId w:val="10"/>
        </w:numPr>
      </w:pPr>
      <w:r>
        <w:rPr>
          <w:b/>
          <w:bCs/>
        </w:rPr>
        <w:t xml:space="preserve">Call counsel early,</w:t>
      </w:r>
      <w:r>
        <w:t xml:space="preserve"> before written investigation work begins, if the event could lead to a citation, a lawsuit, or a dispute among contractors.</w:t>
      </w:r>
    </w:p>
    <w:p>
      <w:pPr>
        <w:pStyle w:val="ListNumber"/>
        <w:numPr>
          <w:ilvl w:val="0"/>
          <w:numId w:val="10"/>
        </w:numPr>
      </w:pPr>
      <w:r>
        <w:rPr>
          <w:b/>
          <w:bCs/>
        </w:rPr>
        <w:t xml:space="preserve">Notify your insurers</w:t>
      </w:r>
      <w:r>
        <w:t xml:space="preserve"> as your policies require. Late notice can jeopardize coverage.</w:t>
      </w:r>
    </w:p>
    <w:p>
      <w:pPr>
        <w:pStyle w:val="ListNumber"/>
        <w:numPr>
          <w:ilvl w:val="0"/>
          <w:numId w:val="10"/>
        </w:numPr>
      </w:pPr>
      <w:r>
        <w:rPr>
          <w:b/>
          <w:bCs/>
        </w:rPr>
        <w:t xml:space="preserve">Notify the general contractor or owner</w:t>
      </w:r>
      <w:r>
        <w:t xml:space="preserve"> if your contract requires it.</w:t>
      </w:r>
    </w:p>
    <w:p>
      <w:pPr>
        <w:spacing w:after="0"/>
      </w:pPr>
    </w:p>
    <w:p>
      <w:pPr>
        <w:pStyle w:val="Heading1"/>
      </w:pPr>
      <w:r>
        <w:rPr>
          <w:color w:val="C9932A"/>
        </w:rPr>
        <w:t xml:space="preserve">02  </w:t>
      </w:r>
      <w:r>
        <w:t xml:space="preserve">Preserve the evidence</w:t>
      </w:r>
    </w:p>
    <w:p>
      <w:r>
        <w:t xml:space="preserve">Once a claim or citation is reasonably foreseeable, the company has a duty to preserve relevant evidence. Losing it can be worse than anything the evidence would have shown.</w:t>
      </w:r>
    </w:p>
    <w:p>
      <w:pPr>
        <w:pStyle w:val="ListBullet"/>
        <w:numPr>
          <w:ilvl w:val="0"/>
          <w:numId w:val="2"/>
        </w:numPr>
      </w:pPr>
      <w:r>
        <w:rPr>
          <w:b/>
          <w:bCs/>
        </w:rPr>
        <w:t xml:space="preserve">Photograph and video the scene</w:t>
      </w:r>
      <w:r>
        <w:t xml:space="preserve"> before anything moves: wide shots, close-ups, measurements, lighting, weather, and signage.</w:t>
      </w:r>
    </w:p>
    <w:p>
      <w:pPr>
        <w:pStyle w:val="ListBullet"/>
        <w:numPr>
          <w:ilvl w:val="0"/>
          <w:numId w:val="2"/>
        </w:numPr>
      </w:pPr>
      <w:r>
        <w:rPr>
          <w:b/>
          <w:bCs/>
        </w:rPr>
        <w:t xml:space="preserve">Quarantine equipment and tools.</w:t>
      </w:r>
      <w:r>
        <w:t xml:space="preserve"> Tag them out; don’t repair, discard, or return rentals until they are documented and counsel agrees.</w:t>
      </w:r>
    </w:p>
    <w:p>
      <w:pPr>
        <w:pStyle w:val="ListBullet"/>
        <w:numPr>
          <w:ilvl w:val="0"/>
          <w:numId w:val="2"/>
        </w:numPr>
      </w:pPr>
      <w:r>
        <w:rPr>
          <w:b/>
          <w:bCs/>
        </w:rPr>
        <w:t xml:space="preserve">Pull electronic data before it overwrites:</w:t>
      </w:r>
      <w:r>
        <w:t xml:space="preserve"> security footage, telematics and vehicle data, equipment logs, access-control records.</w:t>
      </w:r>
    </w:p>
    <w:p>
      <w:pPr>
        <w:pStyle w:val="ListBullet"/>
        <w:numPr>
          <w:ilvl w:val="0"/>
          <w:numId w:val="2"/>
        </w:numPr>
      </w:pPr>
      <w:r>
        <w:rPr>
          <w:b/>
          <w:bCs/>
        </w:rPr>
        <w:t xml:space="preserve">Collect the paper:</w:t>
      </w:r>
      <w:r>
        <w:t xml:space="preserve"> daily reports, JHAs and pre-task plans, inspection records, training and certification records, and the schedule for that day.</w:t>
      </w:r>
    </w:p>
    <w:p>
      <w:pPr>
        <w:pStyle w:val="ListBullet"/>
        <w:numPr>
          <w:ilvl w:val="0"/>
          <w:numId w:val="2"/>
        </w:numPr>
      </w:pPr>
      <w:r>
        <w:rPr>
          <w:b/>
          <w:bCs/>
        </w:rPr>
        <w:t xml:space="preserve">Issue a written litigation hold</w:t>
      </w:r>
      <w:r>
        <w:t xml:space="preserve"> to everyone likely to have relevant information, covering email, texts, and personal phones used for work.</w:t>
      </w:r>
    </w:p>
    <w:p>
      <w:pPr>
        <w:pStyle w:val="ListBullet"/>
        <w:numPr>
          <w:ilvl w:val="0"/>
          <w:numId w:val="2"/>
        </w:numPr>
      </w:pPr>
      <w:r>
        <w:rPr>
          <w:b/>
          <w:bCs/>
        </w:rPr>
        <w:t xml:space="preserve">Log the chain of custody</w:t>
      </w:r>
      <w:r>
        <w:t xml:space="preserve"> for every item: who collected it, when, and where it is kept.</w:t>
      </w:r>
    </w:p>
    <w:p>
      <w:pPr>
        <w:spacing w:after="0"/>
      </w:pPr>
    </w:p>
    <w:p>
      <w:pPr>
        <w:pStyle w:val="Heading1"/>
      </w:pPr>
      <w:r>
        <w:rPr>
          <w:color w:val="C9932A"/>
        </w:rPr>
        <w:t xml:space="preserve">03  </w:t>
      </w:r>
      <w:r>
        <w:t xml:space="preserve">Who investigates</w:t>
      </w:r>
    </w:p>
    <w:p>
      <w:r>
        <w:t xml:space="preserve">Run two tracks: a prompt safety review that fixes the hazard, and, where exposure is significant, a separate investigation directed by counsel.</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2160"/>
        <w:gridCol w:w="3600"/>
        <w:gridCol w:w="3600"/>
      </w:tblGrid>
      <w:tr>
        <w:trPr>
          <w:cantSplit/>
          <w:tblHeader/>
        </w:trPr>
        <w:tc>
          <w:tcPr>
            <w:tcW w:type="dxa" w:w="2160"/>
            <w:shd w:fill="111110" w:color="auto" w:val="clear"/>
            <w:tcMar>
              <w:top w:type="dxa" w:w="90"/>
              <w:left w:type="dxa" w:w="130"/>
              <w:bottom w:type="dxa" w:w="90"/>
              <w:right w:type="dxa" w:w="130"/>
            </w:tcMar>
            <w:vAlign w:val="center"/>
          </w:tcPr>
          <w:p>
            <w:pPr>
              <w:pStyle w:val="ACGTableText"/>
            </w:pPr>
          </w:p>
        </w:tc>
        <w:tc>
          <w:tcPr>
            <w:tcW w:type="dxa" w:w="3600"/>
            <w:shd w:fill="111110" w:color="auto" w:val="clear"/>
            <w:tcMar>
              <w:top w:type="dxa" w:w="90"/>
              <w:left w:type="dxa" w:w="130"/>
              <w:bottom w:type="dxa" w:w="90"/>
              <w:right w:type="dxa" w:w="130"/>
            </w:tcMar>
            <w:vAlign w:val="center"/>
          </w:tcPr>
          <w:p>
            <w:pPr>
              <w:pStyle w:val="ACGTableText"/>
            </w:pPr>
            <w:r>
              <w:rPr>
                <w:b/>
                <w:bCs/>
                <w:color w:val="F0C050"/>
              </w:rPr>
              <w:t xml:space="preserve">Safety review</w:t>
            </w:r>
          </w:p>
        </w:tc>
        <w:tc>
          <w:tcPr>
            <w:tcW w:type="dxa" w:w="3600"/>
            <w:shd w:fill="111110" w:color="auto" w:val="clear"/>
            <w:tcMar>
              <w:top w:type="dxa" w:w="90"/>
              <w:left w:type="dxa" w:w="130"/>
              <w:bottom w:type="dxa" w:w="90"/>
              <w:right w:type="dxa" w:w="130"/>
            </w:tcMar>
            <w:vAlign w:val="center"/>
          </w:tcPr>
          <w:p>
            <w:pPr>
              <w:pStyle w:val="ACGTableText"/>
            </w:pPr>
            <w:r>
              <w:rPr>
                <w:b/>
                <w:bCs/>
                <w:color w:val="F0C050"/>
              </w:rPr>
              <w:t xml:space="preserve">Counsel-directed investigation</w:t>
            </w:r>
          </w:p>
        </w:tc>
      </w:tr>
      <w:tr>
        <w:trPr>
          <w:cantSplit/>
        </w:trPr>
        <w:tc>
          <w:tcPr>
            <w:tcW w:type="dxa" w:w="2160"/>
            <w:shd w:fill="FFFFFF" w:color="auto" w:val="clear"/>
            <w:tcMar>
              <w:top w:type="dxa" w:w="90"/>
              <w:left w:type="dxa" w:w="130"/>
              <w:bottom w:type="dxa" w:w="90"/>
              <w:right w:type="dxa" w:w="130"/>
            </w:tcMar>
            <w:vAlign w:val="center"/>
          </w:tcPr>
          <w:p>
            <w:pPr>
              <w:pStyle w:val="ACGTableText"/>
            </w:pPr>
            <w:r>
              <w:rPr>
                <w:b/>
                <w:bCs/>
              </w:rPr>
              <w:t xml:space="preserve">Purpose</w:t>
            </w:r>
          </w:p>
        </w:tc>
        <w:tc>
          <w:tcPr>
            <w:tcW w:type="dxa" w:w="3600"/>
            <w:shd w:fill="FFFFFF" w:color="auto" w:val="clear"/>
            <w:tcMar>
              <w:top w:type="dxa" w:w="90"/>
              <w:left w:type="dxa" w:w="130"/>
              <w:bottom w:type="dxa" w:w="90"/>
              <w:right w:type="dxa" w:w="130"/>
            </w:tcMar>
            <w:vAlign w:val="center"/>
          </w:tcPr>
          <w:p>
            <w:pPr>
              <w:pStyle w:val="ACGTableText"/>
            </w:pPr>
            <w:r>
              <w:t xml:space="preserve">Find and correct the hazard; prevent recurrence</w:t>
            </w:r>
          </w:p>
        </w:tc>
        <w:tc>
          <w:tcPr>
            <w:tcW w:type="dxa" w:w="3600"/>
            <w:shd w:fill="FFFFFF" w:color="auto" w:val="clear"/>
            <w:tcMar>
              <w:top w:type="dxa" w:w="90"/>
              <w:left w:type="dxa" w:w="130"/>
              <w:bottom w:type="dxa" w:w="90"/>
              <w:right w:type="dxa" w:w="130"/>
            </w:tcMar>
            <w:vAlign w:val="center"/>
          </w:tcPr>
          <w:p>
            <w:pPr>
              <w:pStyle w:val="ACGTableText"/>
            </w:pPr>
            <w:r>
              <w:t xml:space="preserve">Assess legal exposure; prepare for a citation, claim, or suit</w:t>
            </w:r>
          </w:p>
        </w:tc>
      </w:tr>
      <w:tr>
        <w:trPr>
          <w:cantSplit/>
        </w:trPr>
        <w:tc>
          <w:tcPr>
            <w:tcW w:type="dxa" w:w="2160"/>
            <w:shd w:fill="FAF4E4" w:color="auto" w:val="clear"/>
            <w:tcMar>
              <w:top w:type="dxa" w:w="90"/>
              <w:left w:type="dxa" w:w="130"/>
              <w:bottom w:type="dxa" w:w="90"/>
              <w:right w:type="dxa" w:w="130"/>
            </w:tcMar>
            <w:vAlign w:val="center"/>
          </w:tcPr>
          <w:p>
            <w:pPr>
              <w:pStyle w:val="ACGTableText"/>
            </w:pPr>
            <w:r>
              <w:rPr>
                <w:b/>
                <w:bCs/>
              </w:rPr>
              <w:t xml:space="preserve">Led by</w:t>
            </w:r>
          </w:p>
        </w:tc>
        <w:tc>
          <w:tcPr>
            <w:tcW w:type="dxa" w:w="3600"/>
            <w:shd w:fill="FAF4E4" w:color="auto" w:val="clear"/>
            <w:tcMar>
              <w:top w:type="dxa" w:w="90"/>
              <w:left w:type="dxa" w:w="130"/>
              <w:bottom w:type="dxa" w:w="90"/>
              <w:right w:type="dxa" w:w="130"/>
            </w:tcMar>
            <w:vAlign w:val="center"/>
          </w:tcPr>
          <w:p>
            <w:pPr>
              <w:pStyle w:val="ACGTableText"/>
            </w:pPr>
            <w:r>
              <w:t xml:space="preserve">Safety manager or operations</w:t>
            </w:r>
          </w:p>
        </w:tc>
        <w:tc>
          <w:tcPr>
            <w:tcW w:type="dxa" w:w="3600"/>
            <w:shd w:fill="FAF4E4" w:color="auto" w:val="clear"/>
            <w:tcMar>
              <w:top w:type="dxa" w:w="90"/>
              <w:left w:type="dxa" w:w="130"/>
              <w:bottom w:type="dxa" w:w="90"/>
              <w:right w:type="dxa" w:w="130"/>
            </w:tcMar>
            <w:vAlign w:val="center"/>
          </w:tcPr>
          <w:p>
            <w:pPr>
              <w:pStyle w:val="ACGTableText"/>
            </w:pPr>
            <w:r>
              <w:t xml:space="preserve">Attorney, or consultants retained by and reporting to the attorney</w:t>
            </w:r>
          </w:p>
        </w:tc>
      </w:tr>
      <w:tr>
        <w:trPr>
          <w:cantSplit/>
        </w:trPr>
        <w:tc>
          <w:tcPr>
            <w:tcW w:type="dxa" w:w="2160"/>
            <w:shd w:fill="FFFFFF" w:color="auto" w:val="clear"/>
            <w:tcMar>
              <w:top w:type="dxa" w:w="90"/>
              <w:left w:type="dxa" w:w="130"/>
              <w:bottom w:type="dxa" w:w="90"/>
              <w:right w:type="dxa" w:w="130"/>
            </w:tcMar>
            <w:vAlign w:val="center"/>
          </w:tcPr>
          <w:p>
            <w:pPr>
              <w:pStyle w:val="ACGTableText"/>
            </w:pPr>
            <w:r>
              <w:rPr>
                <w:b/>
                <w:bCs/>
              </w:rPr>
              <w:t xml:space="preserve">Output</w:t>
            </w:r>
          </w:p>
        </w:tc>
        <w:tc>
          <w:tcPr>
            <w:tcW w:type="dxa" w:w="3600"/>
            <w:shd w:fill="FFFFFF" w:color="auto" w:val="clear"/>
            <w:tcMar>
              <w:top w:type="dxa" w:w="90"/>
              <w:left w:type="dxa" w:w="130"/>
              <w:bottom w:type="dxa" w:w="90"/>
              <w:right w:type="dxa" w:w="130"/>
            </w:tcMar>
            <w:vAlign w:val="center"/>
          </w:tcPr>
          <w:p>
            <w:pPr>
              <w:pStyle w:val="ACGTableText"/>
            </w:pPr>
            <w:r>
              <w:t xml:space="preserve">Corrective actions with owners and dates</w:t>
            </w:r>
          </w:p>
        </w:tc>
        <w:tc>
          <w:tcPr>
            <w:tcW w:type="dxa" w:w="3600"/>
            <w:shd w:fill="FFFFFF" w:color="auto" w:val="clear"/>
            <w:tcMar>
              <w:top w:type="dxa" w:w="90"/>
              <w:left w:type="dxa" w:w="130"/>
              <w:bottom w:type="dxa" w:w="90"/>
              <w:right w:type="dxa" w:w="130"/>
            </w:tcMar>
            <w:vAlign w:val="center"/>
          </w:tcPr>
          <w:p>
            <w:pPr>
              <w:pStyle w:val="ACGTableText"/>
            </w:pPr>
            <w:r>
              <w:t xml:space="preserve">Privileged analysis and advice</w:t>
            </w:r>
          </w:p>
        </w:tc>
      </w:tr>
      <w:tr>
        <w:trPr>
          <w:cantSplit/>
        </w:trPr>
        <w:tc>
          <w:tcPr>
            <w:tcW w:type="dxa" w:w="2160"/>
            <w:shd w:fill="FAF4E4" w:color="auto" w:val="clear"/>
            <w:tcMar>
              <w:top w:type="dxa" w:w="90"/>
              <w:left w:type="dxa" w:w="130"/>
              <w:bottom w:type="dxa" w:w="90"/>
              <w:right w:type="dxa" w:w="130"/>
            </w:tcMar>
            <w:vAlign w:val="center"/>
          </w:tcPr>
          <w:p>
            <w:pPr>
              <w:pStyle w:val="ACGTableText"/>
            </w:pPr>
            <w:r>
              <w:rPr>
                <w:b/>
                <w:bCs/>
              </w:rPr>
              <w:t xml:space="preserve">Discoverable?</w:t>
            </w:r>
          </w:p>
        </w:tc>
        <w:tc>
          <w:tcPr>
            <w:tcW w:type="dxa" w:w="3600"/>
            <w:shd w:fill="FAF4E4" w:color="auto" w:val="clear"/>
            <w:tcMar>
              <w:top w:type="dxa" w:w="90"/>
              <w:left w:type="dxa" w:w="130"/>
              <w:bottom w:type="dxa" w:w="90"/>
              <w:right w:type="dxa" w:w="130"/>
            </w:tcMar>
            <w:vAlign w:val="center"/>
          </w:tcPr>
          <w:p>
            <w:pPr>
              <w:pStyle w:val="ACGTableText"/>
            </w:pPr>
            <w:r>
              <w:t xml:space="preserve">Generally yes</w:t>
            </w:r>
          </w:p>
        </w:tc>
        <w:tc>
          <w:tcPr>
            <w:tcW w:type="dxa" w:w="3600"/>
            <w:shd w:fill="FAF4E4" w:color="auto" w:val="clear"/>
            <w:tcMar>
              <w:top w:type="dxa" w:w="90"/>
              <w:left w:type="dxa" w:w="130"/>
              <w:bottom w:type="dxa" w:w="90"/>
              <w:right w:type="dxa" w:w="130"/>
            </w:tcMar>
            <w:vAlign w:val="center"/>
          </w:tcPr>
          <w:p>
            <w:pPr>
              <w:pStyle w:val="ACGTableText"/>
            </w:pPr>
            <w:r>
              <w:t xml:space="preserve">Protection is possible, but not guaranteed</w:t>
            </w:r>
          </w:p>
        </w:tc>
      </w:tr>
    </w:tbl>
    <w:p>
      <w:pPr>
        <w:pStyle w:val="ACGBoxEnd"/>
      </w:pPr>
    </w:p>
    <w:p>
      <w:pPr>
        <w:pStyle w:val="ListBullet"/>
        <w:numPr>
          <w:ilvl w:val="0"/>
          <w:numId w:val="2"/>
        </w:numPr>
      </w:pPr>
      <w:r>
        <w:t xml:space="preserve">Communications between company counsel and employees made to obtain legal advice can be privileged (Upjohn Co. v. United States, 449 U.S. 383 (1981)). Counsel should tell employees that counsel represents the company, not them.</w:t>
      </w:r>
    </w:p>
    <w:p>
      <w:pPr>
        <w:pStyle w:val="ListBullet"/>
        <w:numPr>
          <w:ilvl w:val="0"/>
          <w:numId w:val="2"/>
        </w:numPr>
      </w:pPr>
      <w:r>
        <w:t xml:space="preserve">Materials prepared in anticipation of litigation may be protected as work product.</w:t>
      </w:r>
    </w:p>
    <w:p>
      <w:pPr>
        <w:pStyle w:val="ListBullet"/>
        <w:numPr>
          <w:ilvl w:val="0"/>
          <w:numId w:val="2"/>
        </w:numPr>
      </w:pPr>
      <w:r>
        <w:t xml:space="preserve">Privilege can be lost by sharing the material widely or mixing business and legal purposes. Mark privileged documents and keep distribution narrow.</w:t>
      </w:r>
    </w:p>
    <w:p>
      <w:pPr>
        <w:pStyle w:val="ListBullet"/>
        <w:numPr>
          <w:ilvl w:val="0"/>
          <w:numId w:val="2"/>
        </w:numPr>
      </w:pPr>
      <w:r>
        <w:t xml:space="preserve">Never delay fixing a hazard to protect the investigation.</w:t>
      </w:r>
    </w:p>
    <w:p>
      <w:pPr>
        <w:spacing w:after="0"/>
      </w:pPr>
    </w:p>
    <w:p>
      <w:pPr>
        <w:pStyle w:val="ACGCalloutDarkLabel"/>
      </w:pPr>
      <w:r>
        <w:t xml:space="preserve">Remember</w:t>
      </w:r>
    </w:p>
    <w:p>
      <w:pPr>
        <w:pStyle w:val="ACGCalloutDarkTitle"/>
      </w:pPr>
      <w:r>
        <w:t xml:space="preserve">Facts are never privileged.</w:t>
      </w:r>
    </w:p>
    <w:p>
      <w:pPr>
        <w:pStyle w:val="ACGCalloutDark"/>
      </w:pPr>
      <w:r>
        <w:t xml:space="preserve">Photos, measurements, and what witnesses saw remain discoverable, and inspectors may interview the same witnesses. Privilege protects the advice, not the facts underneath it.</w:t>
      </w:r>
    </w:p>
    <w:p>
      <w:pPr>
        <w:pStyle w:val="ACGBoxEnd"/>
      </w:pPr>
    </w:p>
    <w:p>
      <w:pPr>
        <w:pStyle w:val="Heading1"/>
      </w:pPr>
      <w:r>
        <w:rPr>
          <w:color w:val="C9932A"/>
        </w:rPr>
        <w:t xml:space="preserve">04  </w:t>
      </w:r>
      <w:r>
        <w:t xml:space="preserve">Witness statements and the report</w:t>
      </w:r>
    </w:p>
    <w:p>
      <w:r>
        <w:t xml:space="preserve">Write what happened, not who is to blame. Conclusions written in the first days are often wrong, and they are quoted for years.</w:t>
      </w:r>
    </w:p>
    <w:p>
      <w:pPr>
        <w:pStyle w:val="Heading2"/>
      </w:pPr>
      <w:r>
        <w:t xml:space="preserve">Statements</w:t>
      </w:r>
    </w:p>
    <w:p>
      <w:pPr>
        <w:pStyle w:val="ListBullet"/>
        <w:numPr>
          <w:ilvl w:val="0"/>
          <w:numId w:val="2"/>
        </w:numPr>
      </w:pPr>
      <w:r>
        <w:t xml:space="preserve">Interview witnesses separately and soon, while memory is fresh.</w:t>
      </w:r>
    </w:p>
    <w:p>
      <w:pPr>
        <w:pStyle w:val="ListBullet"/>
        <w:numPr>
          <w:ilvl w:val="0"/>
          <w:numId w:val="2"/>
        </w:numPr>
      </w:pPr>
      <w:r>
        <w:t xml:space="preserve">Ask open questions: what they saw, heard, and did, and where they were standing.</w:t>
      </w:r>
    </w:p>
    <w:p>
      <w:pPr>
        <w:pStyle w:val="ListBullet"/>
        <w:numPr>
          <w:ilvl w:val="0"/>
          <w:numId w:val="2"/>
        </w:numPr>
      </w:pPr>
      <w:r>
        <w:t xml:space="preserve">Record their words. Don’t summarize them into your words, and don’t ask anyone to sign a statement they haven’t read.</w:t>
      </w:r>
    </w:p>
    <w:p>
      <w:pPr>
        <w:pStyle w:val="ListBullet"/>
        <w:numPr>
          <w:ilvl w:val="0"/>
          <w:numId w:val="2"/>
        </w:numPr>
      </w:pPr>
      <w:r>
        <w:t xml:space="preserve">Never pressure, coach, or discourage a witness from speaking with OSHA or UOSH. Retaliation is prohibited.</w:t>
      </w:r>
    </w:p>
    <w:p>
      <w:pPr>
        <w:spacing w:after="0"/>
      </w:pPr>
    </w:p>
    <w:p>
      <w:pPr>
        <w:pStyle w:val="Heading2"/>
      </w:pPr>
      <w:r>
        <w:t xml:space="preserve">The report</w:t>
      </w:r>
    </w:p>
    <w:tbl>
      <w:tblPr>
        <w:tblStyle w:val="ACGTable"/>
        <w:tblW w:type="dxa" w:w="9360"/>
        <w:tblBorders>
          <w:top w:val="single" w:color="D9CCA8" w:sz="4"/>
          <w:left w:val="none" w:color="FFFFFF" w:sz="0"/>
          <w:bottom w:val="single" w:color="C9932A" w:sz="10"/>
          <w:right w:val="none" w:color="FFFFFF" w:sz="0"/>
          <w:insideH w:val="single" w:color="D9CCA8" w:sz="4"/>
          <w:insideV w:val="none" w:color="FFFFFF" w:sz="0"/>
        </w:tblBorders>
        <w:tblLayout w:type="fixed"/>
      </w:tblPr>
      <w:tblGrid>
        <w:gridCol w:w="4680"/>
        <w:gridCol w:w="4680"/>
      </w:tblGrid>
      <w:tr>
        <w:trPr>
          <w:cantSplit/>
          <w:tblHeader/>
        </w:trPr>
        <w:tc>
          <w:tcPr>
            <w:tcW w:type="dxa" w:w="4680"/>
            <w:shd w:fill="111110" w:color="auto" w:val="clear"/>
            <w:tcMar>
              <w:top w:type="dxa" w:w="90"/>
              <w:left w:type="dxa" w:w="130"/>
              <w:bottom w:type="dxa" w:w="90"/>
              <w:right w:type="dxa" w:w="130"/>
            </w:tcMar>
            <w:vAlign w:val="center"/>
          </w:tcPr>
          <w:p>
            <w:pPr>
              <w:pStyle w:val="ACGTableText"/>
            </w:pPr>
            <w:r>
              <w:rPr>
                <w:b/>
                <w:bCs/>
                <w:color w:val="F0C050"/>
              </w:rPr>
              <w:t xml:space="preserve">Write</w:t>
            </w:r>
          </w:p>
        </w:tc>
        <w:tc>
          <w:tcPr>
            <w:tcW w:type="dxa" w:w="4680"/>
            <w:shd w:fill="111110" w:color="auto" w:val="clear"/>
            <w:tcMar>
              <w:top w:type="dxa" w:w="90"/>
              <w:left w:type="dxa" w:w="130"/>
              <w:bottom w:type="dxa" w:w="90"/>
              <w:right w:type="dxa" w:w="130"/>
            </w:tcMar>
            <w:vAlign w:val="center"/>
          </w:tcPr>
          <w:p>
            <w:pPr>
              <w:pStyle w:val="ACGTableText"/>
            </w:pPr>
            <w:r>
              <w:rPr>
                <w:b/>
                <w:bCs/>
                <w:color w:val="F0C050"/>
              </w:rPr>
              <w:t xml:space="preserve">Avoid</w:t>
            </w:r>
          </w:p>
        </w:tc>
      </w:tr>
      <w:tr>
        <w:trPr>
          <w:cantSplit/>
        </w:trPr>
        <w:tc>
          <w:tcPr>
            <w:tcW w:type="dxa" w:w="4680"/>
            <w:shd w:fill="FFFFFF" w:color="auto" w:val="clear"/>
            <w:tcMar>
              <w:top w:type="dxa" w:w="90"/>
              <w:left w:type="dxa" w:w="130"/>
              <w:bottom w:type="dxa" w:w="90"/>
              <w:right w:type="dxa" w:w="130"/>
            </w:tcMar>
            <w:vAlign w:val="center"/>
          </w:tcPr>
          <w:p>
            <w:pPr>
              <w:pStyle w:val="ACGTableText"/>
            </w:pPr>
            <w:r>
              <w:t xml:space="preserve">“The guardrail on the north edge was not in place at 10:15 a.m.”</w:t>
            </w:r>
          </w:p>
        </w:tc>
        <w:tc>
          <w:tcPr>
            <w:tcW w:type="dxa" w:w="4680"/>
            <w:shd w:fill="FFFFFF" w:color="auto" w:val="clear"/>
            <w:tcMar>
              <w:top w:type="dxa" w:w="90"/>
              <w:left w:type="dxa" w:w="130"/>
              <w:bottom w:type="dxa" w:w="90"/>
              <w:right w:type="dxa" w:w="130"/>
            </w:tcMar>
            <w:vAlign w:val="center"/>
          </w:tcPr>
          <w:p>
            <w:pPr>
              <w:pStyle w:val="ACGTableText"/>
            </w:pPr>
            <w:r>
              <w:t xml:space="preserve">“The crew ignored the fall protection rules.”</w:t>
            </w:r>
          </w:p>
        </w:tc>
      </w:tr>
      <w:tr>
        <w:trPr>
          <w:cantSplit/>
        </w:trPr>
        <w:tc>
          <w:tcPr>
            <w:tcW w:type="dxa" w:w="4680"/>
            <w:shd w:fill="FAF4E4" w:color="auto" w:val="clear"/>
            <w:tcMar>
              <w:top w:type="dxa" w:w="90"/>
              <w:left w:type="dxa" w:w="130"/>
              <w:bottom w:type="dxa" w:w="90"/>
              <w:right w:type="dxa" w:w="130"/>
            </w:tcMar>
            <w:vAlign w:val="center"/>
          </w:tcPr>
          <w:p>
            <w:pPr>
              <w:pStyle w:val="ACGTableText"/>
            </w:pPr>
            <w:r>
              <w:t xml:space="preserve">“Root cause under review” until it is established</w:t>
            </w:r>
          </w:p>
        </w:tc>
        <w:tc>
          <w:tcPr>
            <w:tcW w:type="dxa" w:w="4680"/>
            <w:shd w:fill="FAF4E4" w:color="auto" w:val="clear"/>
            <w:tcMar>
              <w:top w:type="dxa" w:w="90"/>
              <w:left w:type="dxa" w:w="130"/>
              <w:bottom w:type="dxa" w:w="90"/>
              <w:right w:type="dxa" w:w="130"/>
            </w:tcMar>
            <w:vAlign w:val="center"/>
          </w:tcPr>
          <w:p>
            <w:pPr>
              <w:pStyle w:val="ACGTableText"/>
            </w:pPr>
            <w:r>
              <w:t xml:space="preserve">“Operator error” or “careless” as a conclusion</w:t>
            </w:r>
          </w:p>
        </w:tc>
      </w:tr>
      <w:tr>
        <w:trPr>
          <w:cantSplit/>
        </w:trPr>
        <w:tc>
          <w:tcPr>
            <w:tcW w:type="dxa" w:w="4680"/>
            <w:shd w:fill="FFFFFF" w:color="auto" w:val="clear"/>
            <w:tcMar>
              <w:top w:type="dxa" w:w="90"/>
              <w:left w:type="dxa" w:w="130"/>
              <w:bottom w:type="dxa" w:w="90"/>
              <w:right w:type="dxa" w:w="130"/>
            </w:tcMar>
            <w:vAlign w:val="center"/>
          </w:tcPr>
          <w:p>
            <w:pPr>
              <w:pStyle w:val="ACGTableText"/>
            </w:pPr>
            <w:r>
              <w:t xml:space="preserve">Corrective action, owner, and due date</w:t>
            </w:r>
          </w:p>
        </w:tc>
        <w:tc>
          <w:tcPr>
            <w:tcW w:type="dxa" w:w="4680"/>
            <w:shd w:fill="FFFFFF" w:color="auto" w:val="clear"/>
            <w:tcMar>
              <w:top w:type="dxa" w:w="90"/>
              <w:left w:type="dxa" w:w="130"/>
              <w:bottom w:type="dxa" w:w="90"/>
              <w:right w:type="dxa" w:w="130"/>
            </w:tcMar>
            <w:vAlign w:val="center"/>
          </w:tcPr>
          <w:p>
            <w:pPr>
              <w:pStyle w:val="ACGTableText"/>
            </w:pPr>
            <w:r>
              <w:t xml:space="preserve">Recommendations no one is assigned to complete</w:t>
            </w:r>
          </w:p>
        </w:tc>
      </w:tr>
      <w:tr>
        <w:trPr>
          <w:cantSplit/>
        </w:trPr>
        <w:tc>
          <w:tcPr>
            <w:tcW w:type="dxa" w:w="4680"/>
            <w:shd w:fill="FAF4E4" w:color="auto" w:val="clear"/>
            <w:tcMar>
              <w:top w:type="dxa" w:w="90"/>
              <w:left w:type="dxa" w:w="130"/>
              <w:bottom w:type="dxa" w:w="90"/>
              <w:right w:type="dxa" w:w="130"/>
            </w:tcMar>
            <w:vAlign w:val="center"/>
          </w:tcPr>
          <w:p>
            <w:pPr>
              <w:pStyle w:val="ACGTableText"/>
            </w:pPr>
            <w:r>
              <w:t xml:space="preserve">The applicable standard, once confirmed</w:t>
            </w:r>
          </w:p>
        </w:tc>
        <w:tc>
          <w:tcPr>
            <w:tcW w:type="dxa" w:w="4680"/>
            <w:shd w:fill="FAF4E4" w:color="auto" w:val="clear"/>
            <w:tcMar>
              <w:top w:type="dxa" w:w="90"/>
              <w:left w:type="dxa" w:w="130"/>
              <w:bottom w:type="dxa" w:w="90"/>
              <w:right w:type="dxa" w:w="130"/>
            </w:tcMar>
            <w:vAlign w:val="center"/>
          </w:tcPr>
          <w:p>
            <w:pPr>
              <w:pStyle w:val="ACGTableText"/>
            </w:pPr>
            <w:r>
              <w:t xml:space="preserve">“This was an OSHA violation”</w:t>
            </w:r>
          </w:p>
        </w:tc>
      </w:tr>
    </w:tbl>
    <w:p>
      <w:pPr>
        <w:pStyle w:val="ACGBoxEnd"/>
      </w:pPr>
    </w:p>
    <w:p>
      <w:r>
        <w:t xml:space="preserve">An open, untracked recommendation can later be offered as evidence the company knew about a hazard and did nothing. Track every corrective action to completion and record the date it closed.</w:t>
      </w:r>
    </w:p>
    <w:p>
      <w:pPr>
        <w:pStyle w:val="Heading1"/>
      </w:pPr>
      <w:r>
        <w:rPr>
          <w:color w:val="C9932A"/>
        </w:rPr>
        <w:t xml:space="preserve">05  </w:t>
      </w:r>
      <w:r>
        <w:t xml:space="preserve">Communications discipline</w:t>
      </w:r>
    </w:p>
    <w:p>
      <w:r>
        <w:t xml:space="preserve">Every email, text, and post about the incident may later be read by a regulator, a jury, or an insurer.</w:t>
      </w:r>
    </w:p>
    <w:p>
      <w:pPr>
        <w:pStyle w:val="ListBullet"/>
        <w:numPr>
          <w:ilvl w:val="0"/>
          <w:numId w:val="2"/>
        </w:numPr>
      </w:pPr>
      <w:r>
        <w:t xml:space="preserve">Keep internal messages to facts and logistics. Save analysis for conversations with counsel.</w:t>
      </w:r>
    </w:p>
    <w:p>
      <w:pPr>
        <w:pStyle w:val="ListBullet"/>
        <w:numPr>
          <w:ilvl w:val="0"/>
          <w:numId w:val="2"/>
        </w:numPr>
      </w:pPr>
      <w:r>
        <w:t xml:space="preserve">Name one spokesperson for media, family, and owner inquiries.</w:t>
      </w:r>
    </w:p>
    <w:p>
      <w:pPr>
        <w:pStyle w:val="ListBullet"/>
        <w:numPr>
          <w:ilvl w:val="0"/>
          <w:numId w:val="2"/>
        </w:numPr>
      </w:pPr>
      <w:r>
        <w:t xml:space="preserve">Ask crews not to post photos or comments about the incident. Don’t prohibit employees from discussing working conditions or talking to regulators.</w:t>
      </w:r>
    </w:p>
    <w:p>
      <w:pPr>
        <w:pStyle w:val="ListBullet"/>
        <w:numPr>
          <w:ilvl w:val="0"/>
          <w:numId w:val="2"/>
        </w:numPr>
      </w:pPr>
      <w:r>
        <w:t xml:space="preserve">Express concern for the injured without assigning fault.</w:t>
      </w:r>
    </w:p>
    <w:p>
      <w:pPr>
        <w:spacing w:after="0"/>
      </w:pPr>
    </w:p>
    <w:p>
      <w:pPr>
        <w:pStyle w:val="Heading2"/>
      </w:pPr>
      <w:r>
        <w:t xml:space="preserve">Closing checklist</w:t>
      </w:r>
    </w:p>
    <w:p>
      <w:pPr>
        <w:spacing w:after="80"/>
        <w:ind w:left="360" w:hanging="360"/>
      </w:pPr>
      <w:r>
        <w:rPr>
          <w:rFonts w:ascii="Segoe UI Symbol" w:hAnsi="Segoe UI Symbol"/>
          <w:color w:val="C9932A"/>
        </w:rPr>
        <w:t xml:space="preserve">☐</w:t>
      </w:r>
      <w:r>
        <w:tab/>
      </w:r>
      <w:r>
        <w:t xml:space="preserve">Injured cared for; hazard controlled</w:t>
      </w:r>
    </w:p>
    <w:p>
      <w:pPr>
        <w:spacing w:after="80"/>
        <w:ind w:left="360" w:hanging="360"/>
      </w:pPr>
      <w:r>
        <w:rPr>
          <w:rFonts w:ascii="Segoe UI Symbol" w:hAnsi="Segoe UI Symbol"/>
          <w:color w:val="C9932A"/>
        </w:rPr>
        <w:t xml:space="preserve">☐</w:t>
      </w:r>
      <w:r>
        <w:tab/>
      </w:r>
      <w:r>
        <w:t xml:space="preserve">Federal and UOSH reports made on time; time and contact recorded</w:t>
      </w:r>
    </w:p>
    <w:p>
      <w:pPr>
        <w:spacing w:after="80"/>
        <w:ind w:left="360" w:hanging="360"/>
      </w:pPr>
      <w:r>
        <w:rPr>
          <w:rFonts w:ascii="Segoe UI Symbol" w:hAnsi="Segoe UI Symbol"/>
          <w:color w:val="C9932A"/>
        </w:rPr>
        <w:t xml:space="preserve">☐</w:t>
      </w:r>
      <w:r>
        <w:tab/>
      </w:r>
      <w:r>
        <w:t xml:space="preserve">Counsel and insurers notified</w:t>
      </w:r>
    </w:p>
    <w:p>
      <w:pPr>
        <w:spacing w:after="80"/>
        <w:ind w:left="360" w:hanging="360"/>
      </w:pPr>
      <w:r>
        <w:rPr>
          <w:rFonts w:ascii="Segoe UI Symbol" w:hAnsi="Segoe UI Symbol"/>
          <w:color w:val="C9932A"/>
        </w:rPr>
        <w:t xml:space="preserve">☐</w:t>
      </w:r>
      <w:r>
        <w:tab/>
      </w:r>
      <w:r>
        <w:t xml:space="preserve">Scene photographed; equipment quarantined; electronic data pulled</w:t>
      </w:r>
    </w:p>
    <w:p>
      <w:pPr>
        <w:spacing w:after="80"/>
        <w:ind w:left="360" w:hanging="360"/>
      </w:pPr>
      <w:r>
        <w:rPr>
          <w:rFonts w:ascii="Segoe UI Symbol" w:hAnsi="Segoe UI Symbol"/>
          <w:color w:val="C9932A"/>
        </w:rPr>
        <w:t xml:space="preserve">☐</w:t>
      </w:r>
      <w:r>
        <w:tab/>
      </w:r>
      <w:r>
        <w:t xml:space="preserve">Litigation hold issued</w:t>
      </w:r>
    </w:p>
    <w:p>
      <w:pPr>
        <w:spacing w:after="80"/>
        <w:ind w:left="360" w:hanging="360"/>
      </w:pPr>
      <w:r>
        <w:rPr>
          <w:rFonts w:ascii="Segoe UI Symbol" w:hAnsi="Segoe UI Symbol"/>
          <w:color w:val="C9932A"/>
        </w:rPr>
        <w:t xml:space="preserve">☐</w:t>
      </w:r>
      <w:r>
        <w:tab/>
      </w:r>
      <w:r>
        <w:t xml:space="preserve">Witness statements taken separately, in their own words</w:t>
      </w:r>
    </w:p>
    <w:p>
      <w:pPr>
        <w:spacing w:after="80"/>
        <w:ind w:left="360" w:hanging="360"/>
      </w:pPr>
      <w:r>
        <w:rPr>
          <w:rFonts w:ascii="Segoe UI Symbol" w:hAnsi="Segoe UI Symbol"/>
          <w:color w:val="C9932A"/>
        </w:rPr>
        <w:t xml:space="preserve">☐</w:t>
      </w:r>
      <w:r>
        <w:tab/>
      </w:r>
      <w:r>
        <w:t xml:space="preserve">Two investigation tracks set up, with privileged material marked</w:t>
      </w:r>
    </w:p>
    <w:p>
      <w:pPr>
        <w:spacing w:after="80"/>
        <w:ind w:left="360" w:hanging="360"/>
      </w:pPr>
      <w:r>
        <w:rPr>
          <w:rFonts w:ascii="Segoe UI Symbol" w:hAnsi="Segoe UI Symbol"/>
          <w:color w:val="C9932A"/>
        </w:rPr>
        <w:t xml:space="preserve">☐</w:t>
      </w:r>
      <w:r>
        <w:tab/>
      </w:r>
      <w:r>
        <w:t xml:space="preserve">Report written as facts; corrective actions assigned and tracked</w:t>
      </w:r>
    </w:p>
    <w:p>
      <w:pPr>
        <w:spacing w:after="80"/>
        <w:ind w:left="360" w:hanging="360"/>
      </w:pPr>
      <w:r>
        <w:rPr>
          <w:rFonts w:ascii="Segoe UI Symbol" w:hAnsi="Segoe UI Symbol"/>
          <w:color w:val="C9932A"/>
        </w:rPr>
        <w:t xml:space="preserve">☐</w:t>
      </w:r>
      <w:r>
        <w:tab/>
      </w:r>
      <w:r>
        <w:t xml:space="preserve">Recordability decided and documented</w:t>
      </w:r>
    </w:p>
    <w:p>
      <w:pPr>
        <w:spacing w:after="0"/>
      </w:pPr>
    </w:p>
    <w:p>
      <w:pPr>
        <w:pStyle w:val="Heading2"/>
      </w:pPr>
      <w:r>
        <w:t xml:space="preserve">Sources</w:t>
      </w:r>
    </w:p>
    <w:p>
      <w:pPr>
        <w:pStyle w:val="ACGFinePrint"/>
      </w:pPr>
      <w:r>
        <w:t xml:space="preserve">29 C.F.R. § 1904.39 · Utah Admin. Code R614-1-5 · Upjohn Co. v. United States, 449 U.S. 383 (1981). Current as of October 2026. Privilege and preservation duties depend on the facts and the forum; get advice for a specific incident.</w:t>
      </w:r>
    </w:p>
    <w:p>
      <w:pPr>
        <w:pStyle w:val="ACGFinePrint"/>
      </w:pPr>
      <w:r>
        <w:t xml:space="preserve">Argyle Consulting Group, PLLC  ·  Bountiful, Utah  ·  devin@argylepllc.com</w:t>
      </w:r>
    </w:p>
    <w:sectPr>
      <w:headerReference w:type="default" r:id="rId7"/>
      <w:headerReference w:type="first" r:id="rId8"/>
      <w:footerReference w:type="default" r:id="rId9"/>
      <w:footerReference w:type="first" r:id="rId10"/>
      <w:pgSz w:w="12240" w:h="15840" w:orient="portrait"/>
      <w:pgMar w:top="1300" w:right="1440" w:bottom="12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alibri" w:cs="Calibri" w:eastAsia="Calibri" w:hAnsi="Calibri"/>
        <w:i/>
        <w:iCs/>
        <w:color w:val="6B6B6B"/>
        <w:sz w:val="15"/>
        <w:szCs w:val="15"/>
      </w:rPr>
      <w:t xml:space="preserve">Built to win. Designed to protect.</w:t>
    </w:r>
    <w:r>
      <w:rPr>
        <w:rFonts w:ascii="Georgia" w:cs="Georgia" w:eastAsia="Georgia" w:hAnsi="Georgia"/>
        <w:b/>
        <w:bCs/>
        <w:color w:val="8A6212"/>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32A" w:sz="6" w:space="4"/>
      </w:pBdr>
      <w:tabs>
        <w:tab w:val="right" w:pos="9360"/>
      </w:tabs>
      <w:spacing w:after="0"/>
    </w:pPr>
    <w:r>
      <w:drawing>
        <wp:inline distT="0" distB="0" distL="0" distR="0">
          <wp:extent cx="247650" cy="2476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Georgia" w:cs="Georgia" w:eastAsia="Georgia" w:hAnsi="Georgia"/>
        <w:b/>
        <w:bCs/>
        <w:color w:val="111110"/>
        <w:spacing w:val="30"/>
        <w:sz w:val="16"/>
        <w:szCs w:val="16"/>
      </w:rPr>
      <w:t xml:space="preserve">   ARGYLE CONSULTING GROUP</w:t>
    </w:r>
    <w:r>
      <w:rPr>
        <w:rFonts w:ascii="Georgia" w:cs="Georgia" w:eastAsia="Georgia" w:hAnsi="Georgia"/>
        <w:i/>
        <w:iCs/>
        <w:color w:val="8A6212"/>
        <w:sz w:val="16"/>
        <w:szCs w:val="16"/>
      </w:rPr>
      <w:t xml:space="preserve">	Protecting the Record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rFonts w:ascii="Calibri" w:cs="Calibri" w:eastAsia="Calibri" w:hAnsi="Calibri"/>
        <w:color w:val="C9932A"/>
      </w:rPr>
    </w:lvl>
    <w:lvl w:ilvl="1" w15:tentative="1">
      <w:start w:val="1"/>
      <w:numFmt w:val="bullet"/>
      <w:lvlText w:val="–"/>
      <w:lvlJc w:val="left"/>
      <w:pPr>
        <w:ind w:left="920" w:hanging="280"/>
      </w:pPr>
      <w:rPr>
        <w:rFonts w:ascii="Calibri" w:cs="Calibri" w:eastAsia="Calibri" w:hAnsi="Calibri"/>
        <w:color w:val="8A6212"/>
      </w:rPr>
    </w:lvl>
  </w:abstractNum>
  <w:abstractNum w:abstractNumId="3" w15:restartNumberingAfterBreak="0">
    <w:multiLevelType w:val="hybridMultilevel"/>
    <w:lvl w:ilvl="0" w15:tentative="1">
      <w:start w:val="1"/>
      <w:numFmt w:val="decimal"/>
      <w:lvlText w:val="%1."/>
      <w:lvlJc w:val="left"/>
      <w:pPr>
        <w:ind w:left="460" w:hanging="340"/>
      </w:pPr>
      <w:rPr>
        <w:rFonts w:ascii="Georgia" w:cs="Georgia" w:eastAsia="Georgia" w:hAnsi="Georgia"/>
        <w:b/>
        <w:bCs/>
        <w:color w:val="8A621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1"/>
        <w:szCs w:val="21"/>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40" w:line="288" w:lineRule="auto"/>
    </w:pPr>
    <w:rPr>
      <w:rFonts w:ascii="Calibri" w:cs="Calibri" w:eastAsia="Calibri" w:hAnsi="Calibri"/>
      <w:color w:val="262626"/>
      <w:sz w:val="21"/>
      <w:szCs w:val="21"/>
    </w:rPr>
  </w:style>
  <w:style w:type="paragraph" w:styleId="Title">
    <w:name w:val="Title"/>
    <w:basedOn w:val="Normal"/>
    <w:next w:val="Normal"/>
    <w:qFormat/>
    <w:pPr>
      <w:spacing w:after="160" w:line="240" w:lineRule="auto"/>
    </w:pPr>
    <w:rPr>
      <w:rFonts w:ascii="Georgia" w:cs="Georgia" w:eastAsia="Georgia" w:hAnsi="Georgia"/>
      <w:b/>
      <w:bCs/>
      <w:color w:val="111110"/>
      <w:sz w:val="64"/>
      <w:szCs w:val="64"/>
    </w:rPr>
  </w:style>
  <w:style w:type="paragraph" w:styleId="Subtitle">
    <w:name w:val="Subtitle"/>
    <w:basedOn w:val="Normal"/>
    <w:next w:val="Normal"/>
    <w:qFormat/>
    <w:pPr>
      <w:pBdr>
        <w:bottom w:val="single" w:color="C9932A" w:sz="12" w:space="14"/>
      </w:pBdr>
      <w:spacing w:after="300"/>
    </w:pPr>
    <w:rPr>
      <w:rFonts w:ascii="Georgia" w:cs="Georgia" w:eastAsia="Georgia" w:hAnsi="Georgia"/>
      <w:i/>
      <w:iCs/>
      <w:color w:val="262626"/>
      <w:sz w:val="28"/>
      <w:szCs w:val="28"/>
    </w:rPr>
  </w:style>
  <w:style w:type="paragraph" w:styleId="Heading1">
    <w:name w:val="Heading 1"/>
    <w:basedOn w:val="Normal"/>
    <w:next w:val="Normal"/>
    <w:qFormat/>
    <w:pPr>
      <w:keepNext/>
      <w:keepLines/>
      <w:pBdr>
        <w:bottom w:val="single" w:color="C9932A" w:sz="12" w:space="6"/>
      </w:pBdr>
      <w:spacing w:after="220" w:before="520" w:line="240" w:lineRule="auto"/>
      <w:outlineLvl w:val="0"/>
    </w:pPr>
    <w:rPr>
      <w:rFonts w:ascii="Georgia" w:cs="Georgia" w:eastAsia="Georgia" w:hAnsi="Georgia"/>
      <w:b/>
      <w:bCs/>
      <w:color w:val="111110"/>
      <w:sz w:val="36"/>
      <w:szCs w:val="36"/>
    </w:rPr>
  </w:style>
  <w:style w:type="paragraph" w:styleId="Heading2">
    <w:name w:val="Heading 2"/>
    <w:basedOn w:val="Normal"/>
    <w:next w:val="Normal"/>
    <w:qFormat/>
    <w:pPr>
      <w:keepNext/>
      <w:keepLines/>
      <w:spacing w:after="110" w:before="260" w:line="240" w:lineRule="auto"/>
      <w:outlineLvl w:val="1"/>
    </w:pPr>
    <w:rPr>
      <w:rFonts w:ascii="Georgia" w:cs="Georgia" w:eastAsia="Georgia" w:hAnsi="Georgia"/>
      <w:b/>
      <w:bCs/>
      <w:color w:val="8A6212"/>
      <w:sz w:val="25"/>
      <w:szCs w:val="25"/>
    </w:rPr>
  </w:style>
  <w:style w:type="paragraph" w:styleId="Heading3">
    <w:name w:val="Heading 3"/>
    <w:basedOn w:val="Normal"/>
    <w:next w:val="Normal"/>
    <w:qFormat/>
    <w:pPr>
      <w:keepNext/>
      <w:spacing w:after="80" w:before="200"/>
      <w:outlineLvl w:val="2"/>
    </w:pPr>
    <w:rPr>
      <w:rFonts w:ascii="Calibri" w:cs="Calibri" w:eastAsia="Calibri" w:hAnsi="Calibri"/>
      <w:b/>
      <w:bCs/>
      <w:color w:val="111110"/>
      <w:sz w:val="22"/>
      <w:szCs w:val="22"/>
    </w:rPr>
  </w:style>
  <w:style w:type="paragraph" w:styleId="ACGEyebrow">
    <w:name w:val="ACG Eyebrow"/>
    <w:basedOn w:val="Normal"/>
    <w:next w:val="Normal"/>
    <w:qFormat/>
    <w:pPr>
      <w:keepNext/>
      <w:spacing w:after="60"/>
    </w:pPr>
    <w:rPr>
      <w:rFonts w:ascii="Calibri" w:cs="Calibri" w:eastAsia="Calibri" w:hAnsi="Calibri"/>
      <w:b/>
      <w:bCs/>
      <w:caps/>
      <w:color w:val="8A6212"/>
      <w:spacing w:val="60"/>
      <w:sz w:val="20"/>
      <w:szCs w:val="20"/>
    </w:rPr>
  </w:style>
  <w:style w:type="paragraph" w:styleId="ACGSectionNumber">
    <w:name w:val="ACG Section Number"/>
    <w:basedOn w:val="Normal"/>
    <w:next w:val="Normal"/>
    <w:qFormat/>
    <w:rPr>
      <w:rFonts w:ascii="Georgia" w:cs="Georgia" w:eastAsia="Georgia" w:hAnsi="Georgia"/>
      <w:b/>
      <w:bCs/>
      <w:color w:val="C9932A"/>
    </w:rPr>
  </w:style>
  <w:style w:type="paragraph" w:styleId="ACGFinePrint">
    <w:name w:val="ACG Fine Print"/>
    <w:basedOn w:val="Normal"/>
    <w:next w:val="Normal"/>
    <w:qFormat/>
    <w:pPr>
      <w:spacing w:after="60"/>
    </w:pPr>
    <w:rPr>
      <w:rFonts w:ascii="Calibri" w:cs="Calibri" w:eastAsia="Calibri" w:hAnsi="Calibri"/>
      <w:i/>
      <w:iCs/>
      <w:color w:val="6B6B6B"/>
      <w:sz w:val="16"/>
      <w:szCs w:val="16"/>
    </w:rPr>
  </w:style>
  <w:style w:type="paragraph" w:styleId="ACGTableText">
    <w:name w:val="ACG Table Text"/>
    <w:basedOn w:val="Normal"/>
    <w:next w:val="Normal"/>
    <w:qFormat/>
    <w:pPr>
      <w:spacing w:after="0" w:line="264" w:lineRule="auto"/>
    </w:pPr>
    <w:rPr>
      <w:rFonts w:ascii="Calibri" w:cs="Calibri" w:eastAsia="Calibri" w:hAnsi="Calibri"/>
      <w:color w:val="262626"/>
      <w:sz w:val="19"/>
      <w:szCs w:val="19"/>
    </w:rPr>
  </w:style>
  <w:style w:type="paragraph" w:styleId="ACGCalloutDark">
    <w:name w:val="ACG Callout Dark"/>
    <w:basedOn w:val="Normal"/>
    <w:next w:val="Normal"/>
    <w:qFormat/>
    <w:pPr>
      <w:pBdr>
        <w:top w:val="single" w:color="111110" w:sz="6" w:space="8"/>
        <w:left w:val="single" w:color="C9932A" w:sz="36" w:space="12"/>
        <w:bottom w:val="single" w:color="111110" w:sz="6" w:space="8"/>
        <w:right w:val="single" w:color="111110" w:sz="6" w:space="12"/>
      </w:pBdr>
      <w:shd w:fill="111110" w:color="auto" w:val="clear"/>
      <w:spacing w:after="0" w:before="0" w:line="288" w:lineRule="auto"/>
      <w:ind w:left="300" w:right="300"/>
    </w:pPr>
    <w:rPr>
      <w:rFonts w:ascii="Calibri" w:cs="Calibri" w:eastAsia="Calibri" w:hAnsi="Calibri"/>
      <w:color w:val="E8E2D2"/>
      <w:sz w:val="20"/>
      <w:szCs w:val="20"/>
    </w:rPr>
  </w:style>
  <w:style w:type="paragraph" w:styleId="ACGCalloutDarkLabel">
    <w:name w:val="ACG Callout Dark Label"/>
    <w:basedOn w:val="Normal"/>
    <w:next w:val="ACGCalloutDarkTitle"/>
    <w:qFormat/>
    <w:pPr>
      <w:keepNext/>
      <w:pBdr>
        <w:top w:val="single" w:color="111110" w:sz="6" w:space="8"/>
        <w:left w:val="single" w:color="C9932A" w:sz="36" w:space="12"/>
        <w:bottom w:val="single" w:color="111110" w:sz="6" w:space="8"/>
        <w:right w:val="single" w:color="111110" w:sz="6" w:space="12"/>
      </w:pBdr>
      <w:shd w:fill="111110" w:color="auto" w:val="clear"/>
      <w:spacing w:after="60" w:before="0"/>
      <w:ind w:left="300" w:right="300"/>
    </w:pPr>
    <w:rPr>
      <w:rFonts w:ascii="Calibri" w:cs="Calibri" w:eastAsia="Calibri" w:hAnsi="Calibri"/>
      <w:b/>
      <w:bCs/>
      <w:caps/>
      <w:color w:val="F0C050"/>
      <w:spacing w:val="40"/>
      <w:sz w:val="17"/>
      <w:szCs w:val="17"/>
    </w:rPr>
  </w:style>
  <w:style w:type="paragraph" w:styleId="ACGCalloutDarkTitle">
    <w:name w:val="ACG Callout Dark Title"/>
    <w:basedOn w:val="Normal"/>
    <w:next w:val="ACGCalloutDark"/>
    <w:qFormat/>
    <w:pPr>
      <w:keepNext/>
      <w:pBdr>
        <w:top w:val="single" w:color="111110" w:sz="6" w:space="8"/>
        <w:left w:val="single" w:color="C9932A" w:sz="36" w:space="12"/>
        <w:bottom w:val="single" w:color="111110" w:sz="6" w:space="8"/>
        <w:right w:val="single" w:color="111110" w:sz="6" w:space="12"/>
      </w:pBdr>
      <w:shd w:fill="111110" w:color="auto" w:val="clear"/>
      <w:spacing w:after="80" w:before="0"/>
      <w:ind w:left="300" w:right="300"/>
    </w:pPr>
    <w:rPr>
      <w:rFonts w:ascii="Georgia" w:cs="Georgia" w:eastAsia="Georgia" w:hAnsi="Georgia"/>
      <w:b/>
      <w:bCs/>
      <w:color w:val="FFFFFF"/>
      <w:sz w:val="24"/>
      <w:szCs w:val="24"/>
    </w:rPr>
  </w:style>
  <w:style w:type="paragraph" w:styleId="ACGCalloutLight">
    <w:name w:val="ACG Callout Light"/>
    <w:basedOn w:val="Normal"/>
    <w:next w:val="Normal"/>
    <w:qFormat/>
    <w:pPr>
      <w:pBdr>
        <w:top w:val="single" w:color="FAF4E4" w:sz="6" w:space="8"/>
        <w:left w:val="single" w:color="C9932A" w:sz="36" w:space="12"/>
        <w:bottom w:val="single" w:color="FAF4E4" w:sz="6" w:space="8"/>
        <w:right w:val="single" w:color="FAF4E4" w:sz="6" w:space="12"/>
      </w:pBdr>
      <w:shd w:fill="FAF4E4" w:color="auto" w:val="clear"/>
      <w:spacing w:after="0" w:before="0" w:line="288" w:lineRule="auto"/>
      <w:ind w:left="300" w:right="300"/>
    </w:pPr>
    <w:rPr>
      <w:rFonts w:ascii="Calibri" w:cs="Calibri" w:eastAsia="Calibri" w:hAnsi="Calibri"/>
      <w:color w:val="262626"/>
      <w:sz w:val="20"/>
      <w:szCs w:val="20"/>
    </w:rPr>
  </w:style>
  <w:style w:type="paragraph" w:styleId="ACGCalloutLightLabel">
    <w:name w:val="ACG Callout Light Label"/>
    <w:basedOn w:val="Normal"/>
    <w:next w:val="ACGCalloutLightTitle"/>
    <w:qFormat/>
    <w:pPr>
      <w:keepNext/>
      <w:pBdr>
        <w:top w:val="single" w:color="FAF4E4" w:sz="6" w:space="8"/>
        <w:left w:val="single" w:color="C9932A" w:sz="36" w:space="12"/>
        <w:bottom w:val="single" w:color="FAF4E4" w:sz="6" w:space="8"/>
        <w:right w:val="single" w:color="FAF4E4" w:sz="6" w:space="12"/>
      </w:pBdr>
      <w:shd w:fill="FAF4E4" w:color="auto" w:val="clear"/>
      <w:spacing w:after="60" w:before="0"/>
      <w:ind w:left="300" w:right="300"/>
    </w:pPr>
    <w:rPr>
      <w:rFonts w:ascii="Calibri" w:cs="Calibri" w:eastAsia="Calibri" w:hAnsi="Calibri"/>
      <w:b/>
      <w:bCs/>
      <w:caps/>
      <w:color w:val="8A6212"/>
      <w:spacing w:val="40"/>
      <w:sz w:val="17"/>
      <w:szCs w:val="17"/>
    </w:rPr>
  </w:style>
  <w:style w:type="paragraph" w:styleId="ACGCalloutLightTitle">
    <w:name w:val="ACG Callout Light Title"/>
    <w:basedOn w:val="Normal"/>
    <w:next w:val="ACGCalloutLight"/>
    <w:qFormat/>
    <w:pPr>
      <w:keepNext/>
      <w:pBdr>
        <w:top w:val="single" w:color="FAF4E4" w:sz="6" w:space="8"/>
        <w:left w:val="single" w:color="C9932A" w:sz="36" w:space="12"/>
        <w:bottom w:val="single" w:color="FAF4E4" w:sz="6" w:space="8"/>
        <w:right w:val="single" w:color="FAF4E4" w:sz="6" w:space="12"/>
      </w:pBdr>
      <w:shd w:fill="FAF4E4" w:color="auto" w:val="clear"/>
      <w:spacing w:after="80" w:before="0"/>
      <w:ind w:left="300" w:right="300"/>
    </w:pPr>
    <w:rPr>
      <w:rFonts w:ascii="Georgia" w:cs="Georgia" w:eastAsia="Georgia" w:hAnsi="Georgia"/>
      <w:b/>
      <w:bCs/>
      <w:color w:val="111110"/>
      <w:sz w:val="23"/>
      <w:szCs w:val="23"/>
    </w:rPr>
  </w:style>
  <w:style w:type="paragraph" w:styleId="Quote">
    <w:name w:val="Quote"/>
    <w:basedOn w:val="Normal"/>
    <w:next w:val="Normal"/>
    <w:qFormat/>
    <w:pPr>
      <w:pBdr>
        <w:top w:val="single" w:color="F3F3F1" w:sz="6" w:space="8"/>
        <w:left w:val="single" w:color="C9932A" w:sz="18" w:space="12"/>
        <w:bottom w:val="single" w:color="F3F3F1" w:sz="6" w:space="8"/>
        <w:right w:val="single" w:color="F3F3F1" w:sz="6" w:space="12"/>
      </w:pBdr>
      <w:shd w:fill="F3F3F1" w:color="auto" w:val="clear"/>
      <w:spacing w:after="0" w:before="0" w:line="288" w:lineRule="auto"/>
      <w:ind w:left="300" w:right="300"/>
    </w:pPr>
    <w:rPr>
      <w:rFonts w:ascii="Georgia" w:cs="Georgia" w:eastAsia="Georgia" w:hAnsi="Georgia"/>
      <w:i/>
      <w:iCs/>
      <w:color w:val="262626"/>
      <w:sz w:val="20"/>
      <w:szCs w:val="20"/>
    </w:rPr>
  </w:style>
  <w:style w:type="paragraph" w:styleId="ACGQuoteLabel">
    <w:name w:val="ACG Quote Label"/>
    <w:basedOn w:val="Normal"/>
    <w:next w:val="Quote"/>
    <w:qFormat/>
    <w:pPr>
      <w:keepNext/>
      <w:pBdr>
        <w:top w:val="single" w:color="F3F3F1" w:sz="6" w:space="8"/>
        <w:left w:val="single" w:color="C9932A" w:sz="18" w:space="12"/>
        <w:bottom w:val="single" w:color="F3F3F1" w:sz="6" w:space="8"/>
        <w:right w:val="single" w:color="F3F3F1" w:sz="6" w:space="12"/>
      </w:pBdr>
      <w:shd w:fill="F3F3F1" w:color="auto" w:val="clear"/>
      <w:spacing w:after="60" w:before="0"/>
      <w:ind w:left="300" w:right="300"/>
    </w:pPr>
    <w:rPr>
      <w:rFonts w:ascii="Calibri" w:cs="Calibri" w:eastAsia="Calibri" w:hAnsi="Calibri"/>
      <w:b/>
      <w:bCs/>
      <w:caps/>
      <w:color w:val="6B6B6B"/>
      <w:spacing w:val="40"/>
      <w:sz w:val="16"/>
      <w:szCs w:val="16"/>
    </w:rPr>
  </w:style>
  <w:style w:type="paragraph" w:styleId="ACGTemplateText">
    <w:name w:val="ACG Template Text"/>
    <w:basedOn w:val="Normal"/>
    <w:next w:val="Normal"/>
    <w:qFormat/>
    <w:pPr>
      <w:pBdr>
        <w:top w:val="single" w:color="FBF8F0" w:sz="6" w:space="8"/>
        <w:left w:val="single" w:color="C9932A" w:sz="24" w:space="12"/>
        <w:bottom w:val="single" w:color="FBF8F0" w:sz="6" w:space="8"/>
        <w:right w:val="single" w:color="FBF8F0" w:sz="6" w:space="12"/>
      </w:pBdr>
      <w:shd w:fill="FBF8F0" w:color="auto" w:val="clear"/>
      <w:spacing w:after="60" w:before="0" w:line="252" w:lineRule="auto"/>
      <w:ind w:left="300" w:right="300"/>
    </w:pPr>
    <w:rPr>
      <w:rFonts w:ascii="Georgia" w:cs="Georgia" w:eastAsia="Georgia" w:hAnsi="Georgia"/>
      <w:color w:val="262626"/>
      <w:sz w:val="18"/>
      <w:szCs w:val="18"/>
    </w:rPr>
  </w:style>
  <w:style w:type="paragraph" w:styleId="ACGBoxEnd">
    <w:name w:val="ACG Space After Box"/>
    <w:basedOn w:val="Normal"/>
    <w:next w:val="Normal"/>
    <w:qFormat/>
    <w:pPr>
      <w:spacing w:after="160" w:before="0"/>
    </w:pPr>
    <w:rPr>
      <w:sz w:val="12"/>
      <w:szCs w:val="12"/>
    </w:rPr>
  </w:style>
  <w:style w:type="paragraph" w:styleId="ListBullet">
    <w:name w:val="List Bullet"/>
    <w:basedOn w:val="Normal"/>
    <w:next w:val="Normal"/>
    <w:qFormat/>
    <w:pPr>
      <w:numPr>
        <w:numId w:val="2"/>
      </w:numPr>
      <w:spacing w:after="70" w:line="276" w:lineRule="auto"/>
      <w:ind w:left="460" w:hanging="280"/>
    </w:pPr>
  </w:style>
  <w:style w:type="paragraph" w:styleId="ListNumber">
    <w:name w:val="List Number"/>
    <w:basedOn w:val="Normal"/>
    <w:next w:val="Normal"/>
    <w:qFormat/>
    <w:pPr>
      <w:numPr>
        <w:numId w:val="3"/>
      </w:numPr>
      <w:spacing w:after="80" w:line="276" w:lineRule="auto"/>
      <w:ind w:left="460" w:hanging="34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ACGTable">
    <w:name w:val="ACG Table"/>
    <w:basedOn w:val="TableNormal"/>
    <w:uiPriority w:val="40"/>
    <w:qFormat/>
    <w:pPr>
      <w:spacing w:after="0" w:line="264" w:lineRule="auto"/>
    </w:pPr>
    <w:rPr>
      <w:rFonts w:ascii="Calibri" w:hAnsi="Calibri" w:cs="Calibri"/>
      <w:color w:val="262626"/>
      <w:sz w:val="19"/>
      <w:szCs w:val="19"/>
    </w:rPr>
    <w:tblPr>
      <w:tblStyleRowBandSize w:val="1"/>
      <w:tblBorders>
        <w:top w:val="single" w:sz="4" w:space="0" w:color="D9CCA8"/>
        <w:left w:val="nil"/>
        <w:bottom w:val="single" w:sz="10" w:space="0" w:color="C9932A"/>
        <w:right w:val="nil"/>
        <w:insideH w:val="single" w:sz="4" w:space="0" w:color="D9CCA8"/>
        <w:insideV w:val="nil"/>
      </w:tblBorders>
      <w:tblCellMar>
        <w:top w:w="90" w:type="dxa"/>
        <w:left w:w="130" w:type="dxa"/>
        <w:bottom w:w="90" w:type="dxa"/>
        <w:right w:w="130" w:type="dxa"/>
      </w:tblCellMar>
    </w:tblPr>
    <w:tcPr>
      <w:vAlign w:val="center"/>
    </w:tcPr>
    <w:tblStylePr w:type="firstRow">
      <w:rPr>
        <w:b/>
        <w:bCs/>
        <w:color w:val="F0C050"/>
      </w:rPr>
      <w:tblPr/>
      <w:trPr>
        <w:tblHeader/>
      </w:trPr>
      <w:tcPr>
        <w:shd w:val="clear" w:color="auto" w:fill="111110"/>
      </w:tcPr>
    </w:tblStylePr>
    <w:tblStylePr w:type="band2Horz">
      <w:tblPr/>
      <w:tcPr>
        <w:shd w:val="clear" w:color="auto" w:fill="FAF4E4"/>
      </w:tcPr>
    </w:tblStyle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331be916ba57af64cce5cf687f4b28fe5f916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8505e13edd2e2aee9e5703ab14d11d34963a9b5.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Protecting the Record After a Serious Incident</dc:title>
  <dc:creator>Argyle Consulting Group, PLLC</dc:creator>
  <dc:description>Argyle Consulting Group branded Word template</dc:description>
  <cp:lastModifiedBy>Un-named</cp:lastModifiedBy>
  <cp:revision>1</cp:revision>
  <dcterms:created xsi:type="dcterms:W3CDTF">2026-10-07T08:55:27.870Z</dcterms:created>
  <dcterms:modified xsi:type="dcterms:W3CDTF">2026-10-07T08:55:27.870Z</dcterms:modified>
</cp:coreProperties>
</file>

<file path=docProps/custom.xml><?xml version="1.0" encoding="utf-8"?>
<Properties xmlns="http://schemas.openxmlformats.org/officeDocument/2006/custom-properties" xmlns:vt="http://schemas.openxmlformats.org/officeDocument/2006/docPropsVTypes"/>
</file>