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360"/>
      </w:tblGrid>
      <w:tr>
        <w:tc>
          <w:tcPr>
            <w:tcW w:type="dxa" w:w="9360"/>
            <w:tcBorders>
              <w:top w:val="none" w:color="FFFFFF" w:sz="0"/>
              <w:left w:val="none" w:color="FFFFFF" w:sz="0"/>
              <w:bottom w:val="single" w:color="C9932A" w:sz="24"/>
              <w:right w:val="none" w:color="FFFFFF" w:sz="0"/>
            </w:tcBorders>
            <w:shd w:fill="0B0B0A" w:color="auto" w:val="clear"/>
            <w:tcMar>
              <w:top w:type="dxa" w:w="500"/>
              <w:left w:type="dxa" w:w="300"/>
              <w:bottom w:type="dxa" w:w="500"/>
              <w:right w:type="dxa" w:w="300"/>
            </w:tcMar>
          </w:tcPr>
          <w:p>
            <w:pPr>
              <w:spacing w:after="0"/>
              <w:jc w:val="center"/>
            </w:pPr>
            <w:r>
              <w:drawing>
                <wp:inline distT="0" distB="0" distL="0" distR="0">
                  <wp:extent cx="5143500" cy="1714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143500" cy="1714500"/>
                          </a:xfrm>
                          <a:prstGeom prst="rect">
                            <a:avLst/>
                          </a:prstGeom>
                        </pic:spPr>
                      </pic:pic>
                    </a:graphicData>
                  </a:graphic>
                </wp:inline>
              </w:drawing>
            </w:r>
          </w:p>
        </w:tc>
      </w:tr>
    </w:tbl>
    <w:p>
      <w:pPr>
        <w:spacing w:after="900"/>
      </w:pPr>
    </w:p>
    <w:p>
      <w:pPr>
        <w:pStyle w:val="ACGEyebrow"/>
      </w:pPr>
      <w:r>
        <w:t xml:space="preserve">A DECISION GUIDE</w:t>
      </w:r>
    </w:p>
    <w:p>
      <w:pPr>
        <w:pStyle w:val="Title"/>
      </w:pPr>
      <w:r>
        <w:t xml:space="preserve">OSHA Recordability Quick-Check</w:t>
      </w:r>
    </w:p>
    <w:p>
      <w:pPr>
        <w:pStyle w:val="Subtitle"/>
      </w:pPr>
      <w:r>
        <w:t xml:space="preserve">Four questions that decide whether a case belongs on the OSHA 300 Log.</w:t>
      </w:r>
    </w:p>
    <w:p>
      <w:pPr>
        <w:pStyle w:val="Normal"/>
      </w:pPr>
      <w:r>
        <w:t xml:space="preserve">For safety managers, HR, and owners who keep or review the OSHA 300 Log.</w:t>
      </w:r>
    </w:p>
    <w:p>
      <w:pPr>
        <w:spacing w:after="1500"/>
      </w:pPr>
    </w:p>
    <w:p>
      <w:pPr>
        <w:spacing w:after="40"/>
      </w:pPr>
      <w:r>
        <w:rPr>
          <w:rFonts w:ascii="Georgia" w:cs="Georgia" w:eastAsia="Georgia" w:hAnsi="Georgia"/>
          <w:b/>
          <w:bCs/>
          <w:color w:val="111110"/>
        </w:rPr>
        <w:t xml:space="preserve">Devin Argyle, Attorney at Law</w:t>
      </w:r>
    </w:p>
    <w:p>
      <w:pPr>
        <w:spacing w:after="40"/>
      </w:pPr>
      <w:r>
        <w:rPr>
          <w:color w:val="6B6B6B"/>
          <w:sz w:val="20"/>
          <w:szCs w:val="20"/>
        </w:rPr>
        <w:t xml:space="preserve">Argyle Consulting Group, PLLC  |  Bountiful, Utah</w:t>
      </w:r>
    </w:p>
    <w:p>
      <w:pPr>
        <w:spacing w:after="400"/>
      </w:pPr>
      <w:r>
        <w:rPr>
          <w:color w:val="6B6B6B"/>
          <w:sz w:val="20"/>
          <w:szCs w:val="20"/>
        </w:rPr>
        <w:t xml:space="preserve">October 2026</w:t>
      </w:r>
    </w:p>
    <w:p>
      <w:pPr>
        <w:pStyle w:val="ACGFinePrint"/>
      </w:pPr>
      <w:r>
        <w:t xml:space="preserve">General information only, not legal advice. Reading or using this guide does not create an attorney-client relationship. Facts and deadlines in a specific matter can change the right answer.</w:t>
      </w:r>
    </w:p>
    <w:p>
      <w:pPr>
        <w:pStyle w:val="Heading1"/>
        <w:pageBreakBefore/>
        <w:spacing w:before="0"/>
      </w:pPr>
      <w:r>
        <w:rPr>
          <w:color w:val="C9932A"/>
        </w:rPr>
        <w:t xml:space="preserve">01  </w:t>
      </w:r>
      <w:r>
        <w:t xml:space="preserve">The four questions</w:t>
      </w:r>
    </w:p>
    <w:p>
      <w:r>
        <w:t xml:space="preserve">A case goes on the OSHA 300 Log only if it passes all four questions, in order. A “no” at any step ends the analysis. Document why.</w:t>
      </w:r>
    </w:p>
    <w:p>
      <w:pPr>
        <w:pStyle w:val="ListNumber"/>
        <w:numPr>
          <w:ilvl w:val="0"/>
          <w:numId w:val="10"/>
        </w:numPr>
      </w:pPr>
      <w:r>
        <w:rPr>
          <w:b/>
          <w:bCs/>
        </w:rPr>
        <w:t xml:space="preserve">Is it an injury or illness?</w:t>
      </w:r>
      <w:r>
        <w:t xml:space="preserve"> Any abnormal condition or disorder (29 C.F.R. § 1904.4). Document the facts as reported.</w:t>
      </w:r>
    </w:p>
    <w:p>
      <w:pPr>
        <w:pStyle w:val="ListNumber"/>
        <w:numPr>
          <w:ilvl w:val="0"/>
          <w:numId w:val="10"/>
        </w:numPr>
      </w:pPr>
      <w:r>
        <w:rPr>
          <w:b/>
          <w:bCs/>
        </w:rPr>
        <w:t xml:space="preserve">Is it work-related?</w:t>
      </w:r>
      <w:r>
        <w:t xml:space="preserve"> Yes if an event or exposure in the work environment caused or contributed to it, or significantly aggravated a pre-existing condition. Work-relatedness is presumed for events in the work environment unless an exception applies (§ 1904.5).</w:t>
      </w:r>
    </w:p>
    <w:p>
      <w:pPr>
        <w:pStyle w:val="ListNumber"/>
        <w:numPr>
          <w:ilvl w:val="0"/>
          <w:numId w:val="10"/>
        </w:numPr>
      </w:pPr>
      <w:r>
        <w:rPr>
          <w:b/>
          <w:bCs/>
        </w:rPr>
        <w:t xml:space="preserve">Is it a new case?</w:t>
      </w:r>
      <w:r>
        <w:t xml:space="preserve"> Not a recurrence of a previously recorded injury or illness that had not resolved (§ 1904.6).</w:t>
      </w:r>
    </w:p>
    <w:p>
      <w:pPr>
        <w:pStyle w:val="ListNumber"/>
        <w:numPr>
          <w:ilvl w:val="0"/>
          <w:numId w:val="10"/>
        </w:numPr>
      </w:pPr>
      <w:r>
        <w:rPr>
          <w:b/>
          <w:bCs/>
        </w:rPr>
        <w:t xml:space="preserve">Does it meet a general recording criterion?</w:t>
      </w:r>
      <w:r>
        <w:t xml:space="preserve"> Death; days away from work; restricted work or job transfer; medical treatment beyond first aid; loss of consciousness; or a significant injury or illness diagnosed by a physician or other licensed health care professional (§ 1904.7).</w:t>
      </w:r>
    </w:p>
    <w:p>
      <w:pPr>
        <w:spacing w:after="0"/>
      </w:pPr>
    </w:p>
    <w:p>
      <w:r>
        <w:t xml:space="preserve">Some cases are recordable under specific rules regardless of the general criteria, including certain needlestick and sharps injuries, hearing-loss shifts, and tuberculosis (§§ 1904.8–1904.11).</w:t>
      </w:r>
    </w:p>
    <w:p>
      <w:r>
        <w:t xml:space="preserve">Employers with 10 or fewer employees at all times in the prior calendar year, and establishments in certain partially exempt industries, generally do not need to keep the log (§§ 1904.1–1904.2). They must still report severe events.</w:t>
      </w:r>
    </w:p>
    <w:p>
      <w:pPr>
        <w:pStyle w:val="Heading1"/>
      </w:pPr>
      <w:r>
        <w:rPr>
          <w:color w:val="C9932A"/>
        </w:rPr>
        <w:t xml:space="preserve">02  </w:t>
      </w:r>
      <w:r>
        <w:t xml:space="preserve">Medical treatment vs. first aid</w:t>
      </w:r>
    </w:p>
    <w:p>
      <w:r>
        <w:t xml:space="preserve">If every treatment given is on this list, the case is not recordable on the medical-treatment criterion. The list is complete: anything not on it is medical treatment (§ 1904.7(b)(5)(ii)). Who gives the treatment does not matter.</w:t>
      </w:r>
    </w:p>
    <w:p>
      <w:pPr>
        <w:pStyle w:val="ListNumber"/>
        <w:numPr>
          <w:ilvl w:val="0"/>
          <w:numId w:val="11"/>
        </w:numPr>
      </w:pPr>
      <w:r>
        <w:t xml:space="preserve">Nonprescription medication at nonprescription strength</w:t>
      </w:r>
    </w:p>
    <w:p>
      <w:pPr>
        <w:pStyle w:val="ListNumber"/>
        <w:numPr>
          <w:ilvl w:val="0"/>
          <w:numId w:val="11"/>
        </w:numPr>
      </w:pPr>
      <w:r>
        <w:t xml:space="preserve">Tetanus immunizations</w:t>
      </w:r>
    </w:p>
    <w:p>
      <w:pPr>
        <w:pStyle w:val="ListNumber"/>
        <w:numPr>
          <w:ilvl w:val="0"/>
          <w:numId w:val="11"/>
        </w:numPr>
      </w:pPr>
      <w:r>
        <w:t xml:space="preserve">Cleaning, flushing, or soaking surface wounds</w:t>
      </w:r>
    </w:p>
    <w:p>
      <w:pPr>
        <w:pStyle w:val="ListNumber"/>
        <w:numPr>
          <w:ilvl w:val="0"/>
          <w:numId w:val="11"/>
        </w:numPr>
      </w:pPr>
      <w:r>
        <w:t xml:space="preserve">Wound coverings: bandages, gauze pads, butterfly bandages, Steri-Strips</w:t>
      </w:r>
    </w:p>
    <w:p>
      <w:pPr>
        <w:pStyle w:val="ListNumber"/>
        <w:numPr>
          <w:ilvl w:val="0"/>
          <w:numId w:val="11"/>
        </w:numPr>
      </w:pPr>
      <w:r>
        <w:t xml:space="preserve">Hot or cold therapy</w:t>
      </w:r>
    </w:p>
    <w:p>
      <w:pPr>
        <w:pStyle w:val="ListNumber"/>
        <w:numPr>
          <w:ilvl w:val="0"/>
          <w:numId w:val="11"/>
        </w:numPr>
      </w:pPr>
      <w:r>
        <w:t xml:space="preserve">Non-rigid support: elastic bandages, wraps, non-rigid back belts</w:t>
      </w:r>
    </w:p>
    <w:p>
      <w:pPr>
        <w:pStyle w:val="ListNumber"/>
        <w:numPr>
          <w:ilvl w:val="0"/>
          <w:numId w:val="11"/>
        </w:numPr>
      </w:pPr>
      <w:r>
        <w:t xml:space="preserve">Temporary immobilization while transporting an injured person</w:t>
      </w:r>
    </w:p>
    <w:p>
      <w:pPr>
        <w:pStyle w:val="ListNumber"/>
        <w:numPr>
          <w:ilvl w:val="0"/>
          <w:numId w:val="11"/>
        </w:numPr>
      </w:pPr>
      <w:r>
        <w:t xml:space="preserve">Draining a blister, or drilling a nail to relieve pressure</w:t>
      </w:r>
    </w:p>
    <w:p>
      <w:pPr>
        <w:pStyle w:val="ListNumber"/>
        <w:numPr>
          <w:ilvl w:val="0"/>
          <w:numId w:val="11"/>
        </w:numPr>
      </w:pPr>
      <w:r>
        <w:t xml:space="preserve">Eye patches</w:t>
      </w:r>
    </w:p>
    <w:p>
      <w:pPr>
        <w:pStyle w:val="ListNumber"/>
        <w:numPr>
          <w:ilvl w:val="0"/>
          <w:numId w:val="11"/>
        </w:numPr>
      </w:pPr>
      <w:r>
        <w:t xml:space="preserve">Removing foreign bodies from the eye by irrigation or cotton swab only</w:t>
      </w:r>
    </w:p>
    <w:p>
      <w:pPr>
        <w:pStyle w:val="ListNumber"/>
        <w:numPr>
          <w:ilvl w:val="0"/>
          <w:numId w:val="11"/>
        </w:numPr>
      </w:pPr>
      <w:r>
        <w:t xml:space="preserve">Removing splinters or foreign material elsewhere by simple means</w:t>
      </w:r>
    </w:p>
    <w:p>
      <w:pPr>
        <w:pStyle w:val="ListNumber"/>
        <w:numPr>
          <w:ilvl w:val="0"/>
          <w:numId w:val="11"/>
        </w:numPr>
      </w:pPr>
      <w:r>
        <w:t xml:space="preserve">Finger guards</w:t>
      </w:r>
    </w:p>
    <w:p>
      <w:pPr>
        <w:pStyle w:val="ListNumber"/>
        <w:numPr>
          <w:ilvl w:val="0"/>
          <w:numId w:val="11"/>
        </w:numPr>
      </w:pPr>
      <w:r>
        <w:t xml:space="preserve">Massages</w:t>
      </w:r>
    </w:p>
    <w:p>
      <w:pPr>
        <w:pStyle w:val="ListNumber"/>
        <w:numPr>
          <w:ilvl w:val="0"/>
          <w:numId w:val="11"/>
        </w:numPr>
      </w:pPr>
      <w:r>
        <w:t xml:space="preserve">Drinking fluids to relieve heat stress</w:t>
      </w:r>
    </w:p>
    <w:p>
      <w:pPr>
        <w:spacing w:after="0"/>
      </w:pPr>
    </w:p>
    <w:p>
      <w:pPr>
        <w:pStyle w:val="ACGCalloutDarkLabel"/>
      </w:pPr>
      <w:r>
        <w:t xml:space="preserve">Not first aid</w:t>
      </w:r>
    </w:p>
    <w:p>
      <w:pPr>
        <w:pStyle w:val="ACGCalloutDark"/>
      </w:pPr>
      <w:r>
        <w:t xml:space="preserve">Sutures, surgical glue, rigid splints, prescription medication, or a licensed health care professional’s recommendation to take nonprescription medication at prescription strength. Diagnostic tests such as X-rays, and a visit made only for observation or counseling, are not medical treatment by themselves.</w:t>
      </w:r>
    </w:p>
    <w:p>
      <w:pPr>
        <w:pStyle w:val="ACGBoxEnd"/>
      </w:pPr>
    </w:p>
    <w:p>
      <w:pPr>
        <w:pStyle w:val="Heading1"/>
      </w:pPr>
      <w:r>
        <w:rPr>
          <w:color w:val="C9932A"/>
        </w:rPr>
        <w:t xml:space="preserve">03  </w:t>
      </w:r>
      <w:r>
        <w:t xml:space="preserve">Common traps</w:t>
      </w:r>
    </w:p>
    <w:p>
      <w:pPr>
        <w:pStyle w:val="ListBullet"/>
        <w:numPr>
          <w:ilvl w:val="0"/>
          <w:numId w:val="2"/>
        </w:numPr>
      </w:pPr>
      <w:r>
        <w:rPr>
          <w:b/>
          <w:bCs/>
        </w:rPr>
        <w:t xml:space="preserve">Symptoms after the shift.</w:t>
      </w:r>
      <w:r>
        <w:t xml:space="preserve"> Ask whether any event or exposure at work caused or contributed. Timing helps but does not decide it.</w:t>
      </w:r>
    </w:p>
    <w:p>
      <w:pPr>
        <w:pStyle w:val="ListBullet"/>
        <w:numPr>
          <w:ilvl w:val="0"/>
          <w:numId w:val="2"/>
        </w:numPr>
      </w:pPr>
      <w:r>
        <w:rPr>
          <w:b/>
          <w:bCs/>
        </w:rPr>
        <w:t xml:space="preserve">Symptoms that surface at work from a non-work cause</w:t>
      </w:r>
      <w:r>
        <w:t xml:space="preserve"> are not work-related if they result solely from an event or exposure outside the work environment (§ 1904.5(b)(2)(ii)).</w:t>
      </w:r>
    </w:p>
    <w:p>
      <w:pPr>
        <w:pStyle w:val="ListBullet"/>
        <w:numPr>
          <w:ilvl w:val="0"/>
          <w:numId w:val="2"/>
        </w:numPr>
      </w:pPr>
      <w:r>
        <w:rPr>
          <w:b/>
          <w:bCs/>
        </w:rPr>
        <w:t xml:space="preserve">Commuting.</w:t>
      </w:r>
      <w:r>
        <w:t xml:space="preserve"> A motor vehicle accident in a company parking lot or access road while commuting is not work-related (§ 1904.5(b)(2)(vii)).</w:t>
      </w:r>
    </w:p>
    <w:p>
      <w:pPr>
        <w:pStyle w:val="ListBullet"/>
        <w:numPr>
          <w:ilvl w:val="0"/>
          <w:numId w:val="2"/>
        </w:numPr>
      </w:pPr>
      <w:r>
        <w:rPr>
          <w:b/>
          <w:bCs/>
        </w:rPr>
        <w:t xml:space="preserve">Travel status.</w:t>
      </w:r>
      <w:r>
        <w:t xml:space="preserve"> Work-related while doing work in the employer’s interest; not during a personal detour. Once the employee checks into a hotel, it is treated like home (§ 1904.5(b)(6)).</w:t>
      </w:r>
    </w:p>
    <w:p>
      <w:pPr>
        <w:pStyle w:val="ListBullet"/>
        <w:numPr>
          <w:ilvl w:val="0"/>
          <w:numId w:val="2"/>
        </w:numPr>
      </w:pPr>
      <w:r>
        <w:rPr>
          <w:b/>
          <w:bCs/>
        </w:rPr>
        <w:t xml:space="preserve">Prescription-strength doses</w:t>
      </w:r>
      <w:r>
        <w:t xml:space="preserve"> of over-the-counter medication, recommended by a licensed health care professional, are medical treatment.</w:t>
      </w:r>
    </w:p>
    <w:p>
      <w:pPr>
        <w:pStyle w:val="ListBullet"/>
        <w:numPr>
          <w:ilvl w:val="0"/>
          <w:numId w:val="2"/>
        </w:numPr>
      </w:pPr>
      <w:r>
        <w:rPr>
          <w:b/>
          <w:bCs/>
        </w:rPr>
        <w:t xml:space="preserve">The employee ignores the doctor.</w:t>
      </w:r>
      <w:r>
        <w:t xml:space="preserve"> If a health care professional recommends days away or restricted work, record it even if the employee chooses to work.</w:t>
      </w:r>
    </w:p>
    <w:p>
      <w:pPr>
        <w:pStyle w:val="ListBullet"/>
        <w:numPr>
          <w:ilvl w:val="0"/>
          <w:numId w:val="2"/>
        </w:numPr>
      </w:pPr>
      <w:r>
        <w:rPr>
          <w:b/>
          <w:bCs/>
        </w:rPr>
        <w:t xml:space="preserve">Counting days.</w:t>
      </w:r>
      <w:r>
        <w:t xml:space="preserve"> Count calendar days, starting the day after the injury, including weekends and days off. You may stop at 180.</w:t>
      </w:r>
    </w:p>
    <w:p>
      <w:pPr>
        <w:pStyle w:val="ListBullet"/>
        <w:numPr>
          <w:ilvl w:val="0"/>
          <w:numId w:val="2"/>
        </w:numPr>
      </w:pPr>
      <w:r>
        <w:rPr>
          <w:b/>
          <w:bCs/>
        </w:rPr>
        <w:t xml:space="preserve">Workers’ compensation is a separate question.</w:t>
      </w:r>
      <w:r>
        <w:t xml:space="preserve"> Claim acceptance does not decide recordability, and recordability does not decide the claim.</w:t>
      </w:r>
    </w:p>
    <w:p>
      <w:pPr>
        <w:spacing w:after="0"/>
      </w:pPr>
    </w:p>
    <w:p>
      <w:pPr>
        <w:pStyle w:val="Heading1"/>
      </w:pPr>
      <w:r>
        <w:rPr>
          <w:color w:val="C9932A"/>
        </w:rPr>
        <w:t xml:space="preserve">04  </w:t>
      </w:r>
      <w:r>
        <w:t xml:space="preserve">Deadlines</w:t>
      </w:r>
    </w:p>
    <w:p>
      <w:r>
        <w:t xml:space="preserve">The shortest deadline is the severe-event report: 8 hours federally for a fatality, and 8 hours in Utah for any serious injury.</w:t>
      </w:r>
    </w:p>
    <w:tbl>
      <w:tblPr>
        <w:tblStyle w:val="ACGTable"/>
        <w:tblW w:type="dxa" w:w="9360"/>
        <w:tblBorders>
          <w:top w:val="single" w:color="D9CCA8" w:sz="4"/>
          <w:left w:val="none" w:color="FFFFFF" w:sz="0"/>
          <w:bottom w:val="single" w:color="C9932A" w:sz="10"/>
          <w:right w:val="none" w:color="FFFFFF" w:sz="0"/>
          <w:insideH w:val="single" w:color="D9CCA8" w:sz="4"/>
          <w:insideV w:val="none" w:color="FFFFFF" w:sz="0"/>
        </w:tblBorders>
        <w:tblLayout w:type="fixed"/>
      </w:tblPr>
      <w:tblGrid>
        <w:gridCol w:w="4300"/>
        <w:gridCol w:w="3000"/>
        <w:gridCol w:w="2060"/>
      </w:tblGrid>
      <w:tr>
        <w:trPr>
          <w:cantSplit/>
          <w:tblHeader/>
        </w:trPr>
        <w:tc>
          <w:tcPr>
            <w:tcW w:type="dxa" w:w="4300"/>
            <w:shd w:fill="111110" w:color="auto" w:val="clear"/>
            <w:tcMar>
              <w:top w:type="dxa" w:w="90"/>
              <w:left w:type="dxa" w:w="130"/>
              <w:bottom w:type="dxa" w:w="90"/>
              <w:right w:type="dxa" w:w="130"/>
            </w:tcMar>
            <w:vAlign w:val="center"/>
          </w:tcPr>
          <w:p>
            <w:pPr>
              <w:pStyle w:val="ACGTableText"/>
            </w:pPr>
            <w:r>
              <w:rPr>
                <w:b/>
                <w:bCs/>
                <w:color w:val="F0C050"/>
              </w:rPr>
              <w:t xml:space="preserve">Obligation</w:t>
            </w:r>
          </w:p>
        </w:tc>
        <w:tc>
          <w:tcPr>
            <w:tcW w:type="dxa" w:w="3000"/>
            <w:shd w:fill="111110" w:color="auto" w:val="clear"/>
            <w:tcMar>
              <w:top w:type="dxa" w:w="90"/>
              <w:left w:type="dxa" w:w="130"/>
              <w:bottom w:type="dxa" w:w="90"/>
              <w:right w:type="dxa" w:w="130"/>
            </w:tcMar>
            <w:vAlign w:val="center"/>
          </w:tcPr>
          <w:p>
            <w:pPr>
              <w:pStyle w:val="ACGTableText"/>
            </w:pPr>
            <w:r>
              <w:rPr>
                <w:b/>
                <w:bCs/>
                <w:color w:val="F0C050"/>
              </w:rPr>
              <w:t xml:space="preserve">Deadline</w:t>
            </w:r>
          </w:p>
        </w:tc>
        <w:tc>
          <w:tcPr>
            <w:tcW w:type="dxa" w:w="2060"/>
            <w:shd w:fill="111110" w:color="auto" w:val="clear"/>
            <w:tcMar>
              <w:top w:type="dxa" w:w="90"/>
              <w:left w:type="dxa" w:w="130"/>
              <w:bottom w:type="dxa" w:w="90"/>
              <w:right w:type="dxa" w:w="130"/>
            </w:tcMar>
            <w:vAlign w:val="center"/>
          </w:tcPr>
          <w:p>
            <w:pPr>
              <w:pStyle w:val="ACGTableText"/>
            </w:pPr>
            <w:r>
              <w:rPr>
                <w:b/>
                <w:bCs/>
                <w:color w:val="F0C050"/>
              </w:rPr>
              <w:t xml:space="preserve">Rule</w:t>
            </w:r>
          </w:p>
        </w:tc>
      </w:tr>
      <w:tr>
        <w:trPr>
          <w:cantSplit/>
        </w:trPr>
        <w:tc>
          <w:tcPr>
            <w:tcW w:type="dxa" w:w="4300"/>
            <w:shd w:fill="FFFFFF" w:color="auto" w:val="clear"/>
            <w:tcMar>
              <w:top w:type="dxa" w:w="90"/>
              <w:left w:type="dxa" w:w="130"/>
              <w:bottom w:type="dxa" w:w="90"/>
              <w:right w:type="dxa" w:w="130"/>
            </w:tcMar>
            <w:vAlign w:val="center"/>
          </w:tcPr>
          <w:p>
            <w:pPr>
              <w:pStyle w:val="ACGTableText"/>
            </w:pPr>
            <w:r>
              <w:t xml:space="preserve">Report a work-related fatality</w:t>
            </w:r>
          </w:p>
        </w:tc>
        <w:tc>
          <w:tcPr>
            <w:tcW w:type="dxa" w:w="3000"/>
            <w:shd w:fill="FFFFFF" w:color="auto" w:val="clear"/>
            <w:tcMar>
              <w:top w:type="dxa" w:w="90"/>
              <w:left w:type="dxa" w:w="130"/>
              <w:bottom w:type="dxa" w:w="90"/>
              <w:right w:type="dxa" w:w="130"/>
            </w:tcMar>
            <w:vAlign w:val="center"/>
          </w:tcPr>
          <w:p>
            <w:pPr>
              <w:pStyle w:val="ACGTableText"/>
            </w:pPr>
            <w:r>
              <w:t xml:space="preserve">8 hours after learning of it (death within 30 days of the incident)</w:t>
            </w:r>
          </w:p>
        </w:tc>
        <w:tc>
          <w:tcPr>
            <w:tcW w:type="dxa" w:w="2060"/>
            <w:shd w:fill="FFFFFF" w:color="auto" w:val="clear"/>
            <w:tcMar>
              <w:top w:type="dxa" w:w="90"/>
              <w:left w:type="dxa" w:w="130"/>
              <w:bottom w:type="dxa" w:w="90"/>
              <w:right w:type="dxa" w:w="130"/>
            </w:tcMar>
            <w:vAlign w:val="center"/>
          </w:tcPr>
          <w:p>
            <w:pPr>
              <w:pStyle w:val="ACGTableText"/>
            </w:pPr>
            <w:r>
              <w:t xml:space="preserve">29 C.F.R. § 1904.39</w:t>
            </w:r>
          </w:p>
        </w:tc>
      </w:tr>
      <w:tr>
        <w:trPr>
          <w:cantSplit/>
        </w:trPr>
        <w:tc>
          <w:tcPr>
            <w:tcW w:type="dxa" w:w="4300"/>
            <w:shd w:fill="FAF4E4" w:color="auto" w:val="clear"/>
            <w:tcMar>
              <w:top w:type="dxa" w:w="90"/>
              <w:left w:type="dxa" w:w="130"/>
              <w:bottom w:type="dxa" w:w="90"/>
              <w:right w:type="dxa" w:w="130"/>
            </w:tcMar>
            <w:vAlign w:val="center"/>
          </w:tcPr>
          <w:p>
            <w:pPr>
              <w:pStyle w:val="ACGTableText"/>
            </w:pPr>
            <w:r>
              <w:t xml:space="preserve">Report an in-patient hospitalization, amputation, or loss of an eye</w:t>
            </w:r>
          </w:p>
        </w:tc>
        <w:tc>
          <w:tcPr>
            <w:tcW w:type="dxa" w:w="3000"/>
            <w:shd w:fill="FAF4E4" w:color="auto" w:val="clear"/>
            <w:tcMar>
              <w:top w:type="dxa" w:w="90"/>
              <w:left w:type="dxa" w:w="130"/>
              <w:bottom w:type="dxa" w:w="90"/>
              <w:right w:type="dxa" w:w="130"/>
            </w:tcMar>
            <w:vAlign w:val="center"/>
          </w:tcPr>
          <w:p>
            <w:pPr>
              <w:pStyle w:val="ACGTableText"/>
            </w:pPr>
            <w:r>
              <w:t xml:space="preserve">24 hours after learning of it</w:t>
            </w:r>
          </w:p>
        </w:tc>
        <w:tc>
          <w:tcPr>
            <w:tcW w:type="dxa" w:w="2060"/>
            <w:shd w:fill="FAF4E4" w:color="auto" w:val="clear"/>
            <w:tcMar>
              <w:top w:type="dxa" w:w="90"/>
              <w:left w:type="dxa" w:w="130"/>
              <w:bottom w:type="dxa" w:w="90"/>
              <w:right w:type="dxa" w:w="130"/>
            </w:tcMar>
            <w:vAlign w:val="center"/>
          </w:tcPr>
          <w:p>
            <w:pPr>
              <w:pStyle w:val="ACGTableText"/>
            </w:pPr>
            <w:r>
              <w:t xml:space="preserve">29 C.F.R. § 1904.39</w:t>
            </w:r>
          </w:p>
        </w:tc>
      </w:tr>
      <w:tr>
        <w:trPr>
          <w:cantSplit/>
        </w:trPr>
        <w:tc>
          <w:tcPr>
            <w:tcW w:type="dxa" w:w="4300"/>
            <w:shd w:fill="FFFFFF" w:color="auto" w:val="clear"/>
            <w:tcMar>
              <w:top w:type="dxa" w:w="90"/>
              <w:left w:type="dxa" w:w="130"/>
              <w:bottom w:type="dxa" w:w="90"/>
              <w:right w:type="dxa" w:w="130"/>
            </w:tcMar>
            <w:vAlign w:val="center"/>
          </w:tcPr>
          <w:p>
            <w:pPr>
              <w:pStyle w:val="ACGTableText"/>
            </w:pPr>
            <w:r>
              <w:t xml:space="preserve">Utah: notify UOSH of a fatality or disabling, serious, or significant injury or occupational disease incident</w:t>
            </w:r>
          </w:p>
        </w:tc>
        <w:tc>
          <w:tcPr>
            <w:tcW w:type="dxa" w:w="3000"/>
            <w:shd w:fill="FFFFFF" w:color="auto" w:val="clear"/>
            <w:tcMar>
              <w:top w:type="dxa" w:w="90"/>
              <w:left w:type="dxa" w:w="130"/>
              <w:bottom w:type="dxa" w:w="90"/>
              <w:right w:type="dxa" w:w="130"/>
            </w:tcMar>
            <w:vAlign w:val="center"/>
          </w:tcPr>
          <w:p>
            <w:pPr>
              <w:pStyle w:val="ACGTableText"/>
            </w:pPr>
            <w:r>
              <w:t xml:space="preserve">8 hours after occurrence</w:t>
            </w:r>
          </w:p>
        </w:tc>
        <w:tc>
          <w:tcPr>
            <w:tcW w:type="dxa" w:w="2060"/>
            <w:shd w:fill="FFFFFF" w:color="auto" w:val="clear"/>
            <w:tcMar>
              <w:top w:type="dxa" w:w="90"/>
              <w:left w:type="dxa" w:w="130"/>
              <w:bottom w:type="dxa" w:w="90"/>
              <w:right w:type="dxa" w:w="130"/>
            </w:tcMar>
            <w:vAlign w:val="center"/>
          </w:tcPr>
          <w:p>
            <w:pPr>
              <w:pStyle w:val="ACGTableText"/>
            </w:pPr>
            <w:r>
              <w:t xml:space="preserve">Utah Admin. Code R614-1-5(B)(1)</w:t>
            </w:r>
          </w:p>
        </w:tc>
      </w:tr>
      <w:tr>
        <w:trPr>
          <w:cantSplit/>
        </w:trPr>
        <w:tc>
          <w:tcPr>
            <w:tcW w:type="dxa" w:w="4300"/>
            <w:shd w:fill="FAF4E4" w:color="auto" w:val="clear"/>
            <w:tcMar>
              <w:top w:type="dxa" w:w="90"/>
              <w:left w:type="dxa" w:w="130"/>
              <w:bottom w:type="dxa" w:w="90"/>
              <w:right w:type="dxa" w:w="130"/>
            </w:tcMar>
            <w:vAlign w:val="center"/>
          </w:tcPr>
          <w:p>
            <w:pPr>
              <w:pStyle w:val="ACGTableText"/>
            </w:pPr>
            <w:r>
              <w:t xml:space="preserve">Enter a recordable case on the 300 Log and 301</w:t>
            </w:r>
          </w:p>
        </w:tc>
        <w:tc>
          <w:tcPr>
            <w:tcW w:type="dxa" w:w="3000"/>
            <w:shd w:fill="FAF4E4" w:color="auto" w:val="clear"/>
            <w:tcMar>
              <w:top w:type="dxa" w:w="90"/>
              <w:left w:type="dxa" w:w="130"/>
              <w:bottom w:type="dxa" w:w="90"/>
              <w:right w:type="dxa" w:w="130"/>
            </w:tcMar>
            <w:vAlign w:val="center"/>
          </w:tcPr>
          <w:p>
            <w:pPr>
              <w:pStyle w:val="ACGTableText"/>
            </w:pPr>
            <w:r>
              <w:t xml:space="preserve">7 calendar days after learning of it</w:t>
            </w:r>
          </w:p>
        </w:tc>
        <w:tc>
          <w:tcPr>
            <w:tcW w:type="dxa" w:w="2060"/>
            <w:shd w:fill="FAF4E4" w:color="auto" w:val="clear"/>
            <w:tcMar>
              <w:top w:type="dxa" w:w="90"/>
              <w:left w:type="dxa" w:w="130"/>
              <w:bottom w:type="dxa" w:w="90"/>
              <w:right w:type="dxa" w:w="130"/>
            </w:tcMar>
            <w:vAlign w:val="center"/>
          </w:tcPr>
          <w:p>
            <w:pPr>
              <w:pStyle w:val="ACGTableText"/>
            </w:pPr>
            <w:r>
              <w:t xml:space="preserve">§ 1904.29(b)(3)</w:t>
            </w:r>
          </w:p>
        </w:tc>
      </w:tr>
      <w:tr>
        <w:trPr>
          <w:cantSplit/>
        </w:trPr>
        <w:tc>
          <w:tcPr>
            <w:tcW w:type="dxa" w:w="4300"/>
            <w:shd w:fill="FFFFFF" w:color="auto" w:val="clear"/>
            <w:tcMar>
              <w:top w:type="dxa" w:w="90"/>
              <w:left w:type="dxa" w:w="130"/>
              <w:bottom w:type="dxa" w:w="90"/>
              <w:right w:type="dxa" w:w="130"/>
            </w:tcMar>
            <w:vAlign w:val="center"/>
          </w:tcPr>
          <w:p>
            <w:pPr>
              <w:pStyle w:val="ACGTableText"/>
            </w:pPr>
            <w:r>
              <w:t xml:space="preserve">Produce records to an inspector</w:t>
            </w:r>
          </w:p>
        </w:tc>
        <w:tc>
          <w:tcPr>
            <w:tcW w:type="dxa" w:w="3000"/>
            <w:shd w:fill="FFFFFF" w:color="auto" w:val="clear"/>
            <w:tcMar>
              <w:top w:type="dxa" w:w="90"/>
              <w:left w:type="dxa" w:w="130"/>
              <w:bottom w:type="dxa" w:w="90"/>
              <w:right w:type="dxa" w:w="130"/>
            </w:tcMar>
            <w:vAlign w:val="center"/>
          </w:tcPr>
          <w:p>
            <w:pPr>
              <w:pStyle w:val="ACGTableText"/>
            </w:pPr>
            <w:r>
              <w:t xml:space="preserve">4 business hours after the request</w:t>
            </w:r>
          </w:p>
        </w:tc>
        <w:tc>
          <w:tcPr>
            <w:tcW w:type="dxa" w:w="2060"/>
            <w:shd w:fill="FFFFFF" w:color="auto" w:val="clear"/>
            <w:tcMar>
              <w:top w:type="dxa" w:w="90"/>
              <w:left w:type="dxa" w:w="130"/>
              <w:bottom w:type="dxa" w:w="90"/>
              <w:right w:type="dxa" w:w="130"/>
            </w:tcMar>
            <w:vAlign w:val="center"/>
          </w:tcPr>
          <w:p>
            <w:pPr>
              <w:pStyle w:val="ACGTableText"/>
            </w:pPr>
            <w:r>
              <w:t xml:space="preserve">§ 1904.40</w:t>
            </w:r>
          </w:p>
        </w:tc>
      </w:tr>
      <w:tr>
        <w:trPr>
          <w:cantSplit/>
        </w:trPr>
        <w:tc>
          <w:tcPr>
            <w:tcW w:type="dxa" w:w="4300"/>
            <w:shd w:fill="FAF4E4" w:color="auto" w:val="clear"/>
            <w:tcMar>
              <w:top w:type="dxa" w:w="90"/>
              <w:left w:type="dxa" w:w="130"/>
              <w:bottom w:type="dxa" w:w="90"/>
              <w:right w:type="dxa" w:w="130"/>
            </w:tcMar>
            <w:vAlign w:val="center"/>
          </w:tcPr>
          <w:p>
            <w:pPr>
              <w:pStyle w:val="ACGTableText"/>
            </w:pPr>
            <w:r>
              <w:t xml:space="preserve">Give an employee a copy of the 300 Log</w:t>
            </w:r>
          </w:p>
        </w:tc>
        <w:tc>
          <w:tcPr>
            <w:tcW w:type="dxa" w:w="3000"/>
            <w:shd w:fill="FAF4E4" w:color="auto" w:val="clear"/>
            <w:tcMar>
              <w:top w:type="dxa" w:w="90"/>
              <w:left w:type="dxa" w:w="130"/>
              <w:bottom w:type="dxa" w:w="90"/>
              <w:right w:type="dxa" w:w="130"/>
            </w:tcMar>
            <w:vAlign w:val="center"/>
          </w:tcPr>
          <w:p>
            <w:pPr>
              <w:pStyle w:val="ACGTableText"/>
            </w:pPr>
            <w:r>
              <w:t xml:space="preserve">By the end of the next business day</w:t>
            </w:r>
          </w:p>
        </w:tc>
        <w:tc>
          <w:tcPr>
            <w:tcW w:type="dxa" w:w="2060"/>
            <w:shd w:fill="FAF4E4" w:color="auto" w:val="clear"/>
            <w:tcMar>
              <w:top w:type="dxa" w:w="90"/>
              <w:left w:type="dxa" w:w="130"/>
              <w:bottom w:type="dxa" w:w="90"/>
              <w:right w:type="dxa" w:w="130"/>
            </w:tcMar>
            <w:vAlign w:val="center"/>
          </w:tcPr>
          <w:p>
            <w:pPr>
              <w:pStyle w:val="ACGTableText"/>
            </w:pPr>
            <w:r>
              <w:t xml:space="preserve">§ 1904.35(b)(2)(iv)</w:t>
            </w:r>
          </w:p>
        </w:tc>
      </w:tr>
      <w:tr>
        <w:trPr>
          <w:cantSplit/>
        </w:trPr>
        <w:tc>
          <w:tcPr>
            <w:tcW w:type="dxa" w:w="4300"/>
            <w:shd w:fill="FFFFFF" w:color="auto" w:val="clear"/>
            <w:tcMar>
              <w:top w:type="dxa" w:w="90"/>
              <w:left w:type="dxa" w:w="130"/>
              <w:bottom w:type="dxa" w:w="90"/>
              <w:right w:type="dxa" w:w="130"/>
            </w:tcMar>
            <w:vAlign w:val="center"/>
          </w:tcPr>
          <w:p>
            <w:pPr>
              <w:pStyle w:val="ACGTableText"/>
            </w:pPr>
            <w:r>
              <w:t xml:space="preserve">Certify the 300A and post it</w:t>
            </w:r>
          </w:p>
        </w:tc>
        <w:tc>
          <w:tcPr>
            <w:tcW w:type="dxa" w:w="3000"/>
            <w:shd w:fill="FFFFFF" w:color="auto" w:val="clear"/>
            <w:tcMar>
              <w:top w:type="dxa" w:w="90"/>
              <w:left w:type="dxa" w:w="130"/>
              <w:bottom w:type="dxa" w:w="90"/>
              <w:right w:type="dxa" w:w="130"/>
            </w:tcMar>
            <w:vAlign w:val="center"/>
          </w:tcPr>
          <w:p>
            <w:pPr>
              <w:pStyle w:val="ACGTableText"/>
            </w:pPr>
            <w:r>
              <w:t xml:space="preserve">Posted February 1 through April 30</w:t>
            </w:r>
          </w:p>
        </w:tc>
        <w:tc>
          <w:tcPr>
            <w:tcW w:type="dxa" w:w="2060"/>
            <w:shd w:fill="FFFFFF" w:color="auto" w:val="clear"/>
            <w:tcMar>
              <w:top w:type="dxa" w:w="90"/>
              <w:left w:type="dxa" w:w="130"/>
              <w:bottom w:type="dxa" w:w="90"/>
              <w:right w:type="dxa" w:w="130"/>
            </w:tcMar>
            <w:vAlign w:val="center"/>
          </w:tcPr>
          <w:p>
            <w:pPr>
              <w:pStyle w:val="ACGTableText"/>
            </w:pPr>
            <w:r>
              <w:t xml:space="preserve">§ 1904.32</w:t>
            </w:r>
          </w:p>
        </w:tc>
      </w:tr>
      <w:tr>
        <w:trPr>
          <w:cantSplit/>
        </w:trPr>
        <w:tc>
          <w:tcPr>
            <w:tcW w:type="dxa" w:w="4300"/>
            <w:shd w:fill="FAF4E4" w:color="auto" w:val="clear"/>
            <w:tcMar>
              <w:top w:type="dxa" w:w="90"/>
              <w:left w:type="dxa" w:w="130"/>
              <w:bottom w:type="dxa" w:w="90"/>
              <w:right w:type="dxa" w:w="130"/>
            </w:tcMar>
            <w:vAlign w:val="center"/>
          </w:tcPr>
          <w:p>
            <w:pPr>
              <w:pStyle w:val="ACGTableText"/>
            </w:pPr>
            <w:r>
              <w:t xml:space="preserve">Submit electronically, if covered</w:t>
            </w:r>
          </w:p>
        </w:tc>
        <w:tc>
          <w:tcPr>
            <w:tcW w:type="dxa" w:w="3000"/>
            <w:shd w:fill="FAF4E4" w:color="auto" w:val="clear"/>
            <w:tcMar>
              <w:top w:type="dxa" w:w="90"/>
              <w:left w:type="dxa" w:w="130"/>
              <w:bottom w:type="dxa" w:w="90"/>
              <w:right w:type="dxa" w:w="130"/>
            </w:tcMar>
            <w:vAlign w:val="center"/>
          </w:tcPr>
          <w:p>
            <w:pPr>
              <w:pStyle w:val="ACGTableText"/>
            </w:pPr>
            <w:r>
              <w:t xml:space="preserve">March 2 of the following year</w:t>
            </w:r>
          </w:p>
        </w:tc>
        <w:tc>
          <w:tcPr>
            <w:tcW w:type="dxa" w:w="2060"/>
            <w:shd w:fill="FAF4E4" w:color="auto" w:val="clear"/>
            <w:tcMar>
              <w:top w:type="dxa" w:w="90"/>
              <w:left w:type="dxa" w:w="130"/>
              <w:bottom w:type="dxa" w:w="90"/>
              <w:right w:type="dxa" w:w="130"/>
            </w:tcMar>
            <w:vAlign w:val="center"/>
          </w:tcPr>
          <w:p>
            <w:pPr>
              <w:pStyle w:val="ACGTableText"/>
            </w:pPr>
            <w:r>
              <w:t xml:space="preserve">§ 1904.41</w:t>
            </w:r>
          </w:p>
        </w:tc>
      </w:tr>
      <w:tr>
        <w:trPr>
          <w:cantSplit/>
        </w:trPr>
        <w:tc>
          <w:tcPr>
            <w:tcW w:type="dxa" w:w="4300"/>
            <w:shd w:fill="FFFFFF" w:color="auto" w:val="clear"/>
            <w:tcMar>
              <w:top w:type="dxa" w:w="90"/>
              <w:left w:type="dxa" w:w="130"/>
              <w:bottom w:type="dxa" w:w="90"/>
              <w:right w:type="dxa" w:w="130"/>
            </w:tcMar>
            <w:vAlign w:val="center"/>
          </w:tcPr>
          <w:p>
            <w:pPr>
              <w:pStyle w:val="ACGTableText"/>
            </w:pPr>
            <w:r>
              <w:t xml:space="preserve">Keep the 300, 300A, and 301</w:t>
            </w:r>
          </w:p>
        </w:tc>
        <w:tc>
          <w:tcPr>
            <w:tcW w:type="dxa" w:w="3000"/>
            <w:shd w:fill="FFFFFF" w:color="auto" w:val="clear"/>
            <w:tcMar>
              <w:top w:type="dxa" w:w="90"/>
              <w:left w:type="dxa" w:w="130"/>
              <w:bottom w:type="dxa" w:w="90"/>
              <w:right w:type="dxa" w:w="130"/>
            </w:tcMar>
            <w:vAlign w:val="center"/>
          </w:tcPr>
          <w:p>
            <w:pPr>
              <w:pStyle w:val="ACGTableText"/>
            </w:pPr>
            <w:r>
              <w:t xml:space="preserve">5 years after the end of the year covered</w:t>
            </w:r>
          </w:p>
        </w:tc>
        <w:tc>
          <w:tcPr>
            <w:tcW w:type="dxa" w:w="2060"/>
            <w:shd w:fill="FFFFFF" w:color="auto" w:val="clear"/>
            <w:tcMar>
              <w:top w:type="dxa" w:w="90"/>
              <w:left w:type="dxa" w:w="130"/>
              <w:bottom w:type="dxa" w:w="90"/>
              <w:right w:type="dxa" w:w="130"/>
            </w:tcMar>
            <w:vAlign w:val="center"/>
          </w:tcPr>
          <w:p>
            <w:pPr>
              <w:pStyle w:val="ACGTableText"/>
            </w:pPr>
            <w:r>
              <w:t xml:space="preserve">§ 1904.33</w:t>
            </w:r>
          </w:p>
        </w:tc>
      </w:tr>
    </w:tbl>
    <w:p>
      <w:pPr>
        <w:pStyle w:val="ACGBoxEnd"/>
      </w:pPr>
    </w:p>
    <w:p>
      <w:r>
        <w:t xml:space="preserve">Electronic submission applies to establishments with 250 or more employees, establishments with 20 to 249 employees in listed industries, and, for Forms 300 and 301, establishments with 100 or more employees in a narrower list. Check your NAICS code against Appendices A and B to Subpart E.</w:t>
      </w:r>
    </w:p>
    <w:p>
      <w:pPr>
        <w:pStyle w:val="ACGCalloutLightLabel"/>
      </w:pPr>
      <w:r>
        <w:t xml:space="preserve">Try it online</w:t>
      </w:r>
    </w:p>
    <w:p>
      <w:pPr>
        <w:pStyle w:val="ACGCalloutLightTitle"/>
      </w:pPr>
      <w:r>
        <w:t xml:space="preserve">Use the interactive Quick-Check</w:t>
      </w:r>
    </w:p>
    <w:p>
      <w:pPr>
        <w:pStyle w:val="ACGCalloutLight"/>
      </w:pPr>
      <w:r>
        <w:t xml:space="preserve">The ACG website has an interactive version of this guide. Answer yes/no questions and get a likely result, the rule behind each step, and a summary for your incident file. Nothing you enter is stored.</w:t>
      </w:r>
    </w:p>
    <w:p>
      <w:pPr>
        <w:pStyle w:val="ACGBoxEnd"/>
      </w:pPr>
    </w:p>
    <w:p>
      <w:pPr>
        <w:pStyle w:val="Heading2"/>
      </w:pPr>
      <w:r>
        <w:t xml:space="preserve">Sources</w:t>
      </w:r>
    </w:p>
    <w:p>
      <w:pPr>
        <w:pStyle w:val="ACGFinePrint"/>
      </w:pPr>
      <w:r>
        <w:t xml:space="preserve">29 C.F.R. Part 1904, including §§ 1904.1–1904.11, 1904.29, 1904.32, 1904.33, 1904.35, 1904.39, 1904.40, 1904.41 · Utah Admin. Code R614-1-5. Current as of October 2026. Close calls depend on facts; document the reasoning behind every recordability decision.</w:t>
      </w:r>
    </w:p>
    <w:p>
      <w:pPr>
        <w:pStyle w:val="ACGFinePrint"/>
      </w:pPr>
      <w:r>
        <w:t xml:space="preserve">Argyle Consulting Group, PLLC  ·  Bountiful, Utah  ·  devin@argylepllc.com</w:t>
      </w:r>
    </w:p>
    <w:sectPr>
      <w:headerReference w:type="default" r:id="rId7"/>
      <w:headerReference w:type="first" r:id="rId8"/>
      <w:footerReference w:type="default" r:id="rId9"/>
      <w:footerReference w:type="first" r:id="rId10"/>
      <w:pgSz w:w="12240" w:h="15840" w:orient="portrait"/>
      <w:pgMar w:top="1300" w:right="1440" w:bottom="1200" w:left="1440" w:header="600" w:footer="56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spacing w:after="0"/>
    </w:pPr>
    <w:r>
      <w:rPr>
        <w:rFonts w:ascii="Calibri" w:cs="Calibri" w:eastAsia="Calibri" w:hAnsi="Calibri"/>
        <w:i/>
        <w:iCs/>
        <w:color w:val="6B6B6B"/>
        <w:sz w:val="15"/>
        <w:szCs w:val="15"/>
      </w:rPr>
      <w:t xml:space="preserve">Built to win. Designed to protect.</w:t>
    </w:r>
    <w:r>
      <w:rPr>
        <w:rFonts w:ascii="Georgia" w:cs="Georgia" w:eastAsia="Georgia" w:hAnsi="Georgia"/>
        <w:b/>
        <w:bCs/>
        <w:color w:val="8A6212"/>
        <w:sz w:val="17"/>
        <w:szCs w:val="17"/>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932A" w:sz="6" w:space="4"/>
      </w:pBdr>
      <w:tabs>
        <w:tab w:val="right" w:pos="9360"/>
      </w:tabs>
      <w:spacing w:after="0"/>
    </w:pPr>
    <w:r>
      <w:drawing>
        <wp:inline distT="0" distB="0" distL="0" distR="0">
          <wp:extent cx="247650" cy="247650"/>
          <wp:effectExtent t="0" r="0" b="0" l="0"/>
          <wp:docPr id="10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47650" cy="247650"/>
                  </a:xfrm>
                  <a:prstGeom prst="rect">
                    <a:avLst/>
                  </a:prstGeom>
                </pic:spPr>
              </pic:pic>
            </a:graphicData>
          </a:graphic>
        </wp:inline>
      </w:drawing>
    </w:r>
    <w:r>
      <w:rPr>
        <w:rFonts w:ascii="Georgia" w:cs="Georgia" w:eastAsia="Georgia" w:hAnsi="Georgia"/>
        <w:b/>
        <w:bCs/>
        <w:color w:val="111110"/>
        <w:spacing w:val="30"/>
        <w:sz w:val="16"/>
        <w:szCs w:val="16"/>
      </w:rPr>
      <w:t xml:space="preserve">   ARGYLE CONSULTING GROUP</w:t>
    </w:r>
    <w:r>
      <w:rPr>
        <w:rFonts w:ascii="Georgia" w:cs="Georgia" w:eastAsia="Georgia" w:hAnsi="Georgia"/>
        <w:i/>
        <w:iCs/>
        <w:color w:val="8A6212"/>
        <w:sz w:val="16"/>
        <w:szCs w:val="16"/>
      </w:rPr>
      <w:t xml:space="preserve">	OSHA Recordability Quick-Check</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80"/>
      </w:pPr>
      <w:rPr>
        <w:rFonts w:ascii="Calibri" w:cs="Calibri" w:eastAsia="Calibri" w:hAnsi="Calibri"/>
        <w:color w:val="C9932A"/>
      </w:rPr>
    </w:lvl>
    <w:lvl w:ilvl="1" w15:tentative="1">
      <w:start w:val="1"/>
      <w:numFmt w:val="bullet"/>
      <w:lvlText w:val="–"/>
      <w:lvlJc w:val="left"/>
      <w:pPr>
        <w:ind w:left="920" w:hanging="280"/>
      </w:pPr>
      <w:rPr>
        <w:rFonts w:ascii="Calibri" w:cs="Calibri" w:eastAsia="Calibri" w:hAnsi="Calibri"/>
        <w:color w:val="8A6212"/>
      </w:rPr>
    </w:lvl>
  </w:abstractNum>
  <w:abstractNum w:abstractNumId="3" w15:restartNumberingAfterBreak="0">
    <w:multiLevelType w:val="hybridMultilevel"/>
    <w:lvl w:ilvl="0" w15:tentative="1">
      <w:start w:val="1"/>
      <w:numFmt w:val="decimal"/>
      <w:lvlText w:val="%1."/>
      <w:lvlJc w:val="left"/>
      <w:pPr>
        <w:ind w:left="460" w:hanging="340"/>
      </w:pPr>
      <w:rPr>
        <w:rFonts w:ascii="Georgia" w:cs="Georgia" w:eastAsia="Georgia" w:hAnsi="Georgia"/>
        <w:b/>
        <w:bCs/>
        <w:color w:val="8A621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10">
    <w:abstractNumId w:val="3"/>
    <w:lvlOverride w:ilvl="0">
      <w:startOverride w:val="1"/>
    </w:lvlOverride>
  </w:num>
  <w:num w:numId="11">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62626"/>
        <w:sz w:val="21"/>
        <w:szCs w:val="21"/>
      </w:rPr>
    </w:rPrDefault>
    <w:pPrDefault/>
  </w:docDefaults>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pPr>
      <w:spacing w:after="140" w:line="288" w:lineRule="auto"/>
    </w:pPr>
    <w:rPr>
      <w:rFonts w:ascii="Calibri" w:cs="Calibri" w:eastAsia="Calibri" w:hAnsi="Calibri"/>
      <w:color w:val="262626"/>
      <w:sz w:val="21"/>
      <w:szCs w:val="21"/>
    </w:rPr>
  </w:style>
  <w:style w:type="paragraph" w:styleId="Title">
    <w:name w:val="Title"/>
    <w:basedOn w:val="Normal"/>
    <w:next w:val="Normal"/>
    <w:qFormat/>
    <w:pPr>
      <w:spacing w:after="160" w:line="240" w:lineRule="auto"/>
    </w:pPr>
    <w:rPr>
      <w:rFonts w:ascii="Georgia" w:cs="Georgia" w:eastAsia="Georgia" w:hAnsi="Georgia"/>
      <w:b/>
      <w:bCs/>
      <w:color w:val="111110"/>
      <w:sz w:val="64"/>
      <w:szCs w:val="64"/>
    </w:rPr>
  </w:style>
  <w:style w:type="paragraph" w:styleId="Subtitle">
    <w:name w:val="Subtitle"/>
    <w:basedOn w:val="Normal"/>
    <w:next w:val="Normal"/>
    <w:qFormat/>
    <w:pPr>
      <w:pBdr>
        <w:bottom w:val="single" w:color="C9932A" w:sz="12" w:space="14"/>
      </w:pBdr>
      <w:spacing w:after="300"/>
    </w:pPr>
    <w:rPr>
      <w:rFonts w:ascii="Georgia" w:cs="Georgia" w:eastAsia="Georgia" w:hAnsi="Georgia"/>
      <w:i/>
      <w:iCs/>
      <w:color w:val="262626"/>
      <w:sz w:val="28"/>
      <w:szCs w:val="28"/>
    </w:rPr>
  </w:style>
  <w:style w:type="paragraph" w:styleId="Heading1">
    <w:name w:val="Heading 1"/>
    <w:basedOn w:val="Normal"/>
    <w:next w:val="Normal"/>
    <w:qFormat/>
    <w:pPr>
      <w:keepNext/>
      <w:keepLines/>
      <w:pBdr>
        <w:bottom w:val="single" w:color="C9932A" w:sz="12" w:space="6"/>
      </w:pBdr>
      <w:spacing w:after="220" w:before="520" w:line="240" w:lineRule="auto"/>
      <w:outlineLvl w:val="0"/>
    </w:pPr>
    <w:rPr>
      <w:rFonts w:ascii="Georgia" w:cs="Georgia" w:eastAsia="Georgia" w:hAnsi="Georgia"/>
      <w:b/>
      <w:bCs/>
      <w:color w:val="111110"/>
      <w:sz w:val="36"/>
      <w:szCs w:val="36"/>
    </w:rPr>
  </w:style>
  <w:style w:type="paragraph" w:styleId="Heading2">
    <w:name w:val="Heading 2"/>
    <w:basedOn w:val="Normal"/>
    <w:next w:val="Normal"/>
    <w:qFormat/>
    <w:pPr>
      <w:keepNext/>
      <w:keepLines/>
      <w:spacing w:after="110" w:before="260" w:line="240" w:lineRule="auto"/>
      <w:outlineLvl w:val="1"/>
    </w:pPr>
    <w:rPr>
      <w:rFonts w:ascii="Georgia" w:cs="Georgia" w:eastAsia="Georgia" w:hAnsi="Georgia"/>
      <w:b/>
      <w:bCs/>
      <w:color w:val="8A6212"/>
      <w:sz w:val="25"/>
      <w:szCs w:val="25"/>
    </w:rPr>
  </w:style>
  <w:style w:type="paragraph" w:styleId="Heading3">
    <w:name w:val="Heading 3"/>
    <w:basedOn w:val="Normal"/>
    <w:next w:val="Normal"/>
    <w:qFormat/>
    <w:pPr>
      <w:keepNext/>
      <w:spacing w:after="80" w:before="200"/>
      <w:outlineLvl w:val="2"/>
    </w:pPr>
    <w:rPr>
      <w:rFonts w:ascii="Calibri" w:cs="Calibri" w:eastAsia="Calibri" w:hAnsi="Calibri"/>
      <w:b/>
      <w:bCs/>
      <w:color w:val="111110"/>
      <w:sz w:val="22"/>
      <w:szCs w:val="22"/>
    </w:rPr>
  </w:style>
  <w:style w:type="paragraph" w:styleId="ACGEyebrow">
    <w:name w:val="ACG Eyebrow"/>
    <w:basedOn w:val="Normal"/>
    <w:next w:val="Normal"/>
    <w:qFormat/>
    <w:pPr>
      <w:keepNext/>
      <w:spacing w:after="60"/>
    </w:pPr>
    <w:rPr>
      <w:rFonts w:ascii="Calibri" w:cs="Calibri" w:eastAsia="Calibri" w:hAnsi="Calibri"/>
      <w:b/>
      <w:bCs/>
      <w:caps/>
      <w:color w:val="8A6212"/>
      <w:spacing w:val="60"/>
      <w:sz w:val="20"/>
      <w:szCs w:val="20"/>
    </w:rPr>
  </w:style>
  <w:style w:type="paragraph" w:styleId="ACGSectionNumber">
    <w:name w:val="ACG Section Number"/>
    <w:basedOn w:val="Normal"/>
    <w:next w:val="Normal"/>
    <w:qFormat/>
    <w:rPr>
      <w:rFonts w:ascii="Georgia" w:cs="Georgia" w:eastAsia="Georgia" w:hAnsi="Georgia"/>
      <w:b/>
      <w:bCs/>
      <w:color w:val="C9932A"/>
    </w:rPr>
  </w:style>
  <w:style w:type="paragraph" w:styleId="ACGFinePrint">
    <w:name w:val="ACG Fine Print"/>
    <w:basedOn w:val="Normal"/>
    <w:next w:val="Normal"/>
    <w:qFormat/>
    <w:pPr>
      <w:spacing w:after="60"/>
    </w:pPr>
    <w:rPr>
      <w:rFonts w:ascii="Calibri" w:cs="Calibri" w:eastAsia="Calibri" w:hAnsi="Calibri"/>
      <w:i/>
      <w:iCs/>
      <w:color w:val="6B6B6B"/>
      <w:sz w:val="16"/>
      <w:szCs w:val="16"/>
    </w:rPr>
  </w:style>
  <w:style w:type="paragraph" w:styleId="ACGTableText">
    <w:name w:val="ACG Table Text"/>
    <w:basedOn w:val="Normal"/>
    <w:next w:val="Normal"/>
    <w:qFormat/>
    <w:pPr>
      <w:spacing w:after="0" w:line="264" w:lineRule="auto"/>
    </w:pPr>
    <w:rPr>
      <w:rFonts w:ascii="Calibri" w:cs="Calibri" w:eastAsia="Calibri" w:hAnsi="Calibri"/>
      <w:color w:val="262626"/>
      <w:sz w:val="19"/>
      <w:szCs w:val="19"/>
    </w:rPr>
  </w:style>
  <w:style w:type="paragraph" w:styleId="ACGCalloutDark">
    <w:name w:val="ACG Callout Dark"/>
    <w:basedOn w:val="Normal"/>
    <w:next w:val="Normal"/>
    <w:qFormat/>
    <w:pPr>
      <w:pBdr>
        <w:top w:val="single" w:color="111110" w:sz="6" w:space="8"/>
        <w:left w:val="single" w:color="C9932A" w:sz="36" w:space="12"/>
        <w:bottom w:val="single" w:color="111110" w:sz="6" w:space="8"/>
        <w:right w:val="single" w:color="111110" w:sz="6" w:space="12"/>
      </w:pBdr>
      <w:shd w:fill="111110" w:color="auto" w:val="clear"/>
      <w:spacing w:after="0" w:before="0" w:line="288" w:lineRule="auto"/>
      <w:ind w:left="300" w:right="300"/>
    </w:pPr>
    <w:rPr>
      <w:rFonts w:ascii="Calibri" w:cs="Calibri" w:eastAsia="Calibri" w:hAnsi="Calibri"/>
      <w:color w:val="E8E2D2"/>
      <w:sz w:val="20"/>
      <w:szCs w:val="20"/>
    </w:rPr>
  </w:style>
  <w:style w:type="paragraph" w:styleId="ACGCalloutDarkLabel">
    <w:name w:val="ACG Callout Dark Label"/>
    <w:basedOn w:val="Normal"/>
    <w:next w:val="ACGCalloutDarkTitle"/>
    <w:qFormat/>
    <w:pPr>
      <w:keepNext/>
      <w:pBdr>
        <w:top w:val="single" w:color="111110" w:sz="6" w:space="8"/>
        <w:left w:val="single" w:color="C9932A" w:sz="36" w:space="12"/>
        <w:bottom w:val="single" w:color="111110" w:sz="6" w:space="8"/>
        <w:right w:val="single" w:color="111110" w:sz="6" w:space="12"/>
      </w:pBdr>
      <w:shd w:fill="111110" w:color="auto" w:val="clear"/>
      <w:spacing w:after="60" w:before="0"/>
      <w:ind w:left="300" w:right="300"/>
    </w:pPr>
    <w:rPr>
      <w:rFonts w:ascii="Calibri" w:cs="Calibri" w:eastAsia="Calibri" w:hAnsi="Calibri"/>
      <w:b/>
      <w:bCs/>
      <w:caps/>
      <w:color w:val="F0C050"/>
      <w:spacing w:val="40"/>
      <w:sz w:val="17"/>
      <w:szCs w:val="17"/>
    </w:rPr>
  </w:style>
  <w:style w:type="paragraph" w:styleId="ACGCalloutDarkTitle">
    <w:name w:val="ACG Callout Dark Title"/>
    <w:basedOn w:val="Normal"/>
    <w:next w:val="ACGCalloutDark"/>
    <w:qFormat/>
    <w:pPr>
      <w:keepNext/>
      <w:pBdr>
        <w:top w:val="single" w:color="111110" w:sz="6" w:space="8"/>
        <w:left w:val="single" w:color="C9932A" w:sz="36" w:space="12"/>
        <w:bottom w:val="single" w:color="111110" w:sz="6" w:space="8"/>
        <w:right w:val="single" w:color="111110" w:sz="6" w:space="12"/>
      </w:pBdr>
      <w:shd w:fill="111110" w:color="auto" w:val="clear"/>
      <w:spacing w:after="80" w:before="0"/>
      <w:ind w:left="300" w:right="300"/>
    </w:pPr>
    <w:rPr>
      <w:rFonts w:ascii="Georgia" w:cs="Georgia" w:eastAsia="Georgia" w:hAnsi="Georgia"/>
      <w:b/>
      <w:bCs/>
      <w:color w:val="FFFFFF"/>
      <w:sz w:val="24"/>
      <w:szCs w:val="24"/>
    </w:rPr>
  </w:style>
  <w:style w:type="paragraph" w:styleId="ACGCalloutLight">
    <w:name w:val="ACG Callout Light"/>
    <w:basedOn w:val="Normal"/>
    <w:next w:val="Normal"/>
    <w:qFormat/>
    <w:pPr>
      <w:pBdr>
        <w:top w:val="single" w:color="FAF4E4" w:sz="6" w:space="8"/>
        <w:left w:val="single" w:color="C9932A" w:sz="36" w:space="12"/>
        <w:bottom w:val="single" w:color="FAF4E4" w:sz="6" w:space="8"/>
        <w:right w:val="single" w:color="FAF4E4" w:sz="6" w:space="12"/>
      </w:pBdr>
      <w:shd w:fill="FAF4E4" w:color="auto" w:val="clear"/>
      <w:spacing w:after="0" w:before="0" w:line="288" w:lineRule="auto"/>
      <w:ind w:left="300" w:right="300"/>
    </w:pPr>
    <w:rPr>
      <w:rFonts w:ascii="Calibri" w:cs="Calibri" w:eastAsia="Calibri" w:hAnsi="Calibri"/>
      <w:color w:val="262626"/>
      <w:sz w:val="20"/>
      <w:szCs w:val="20"/>
    </w:rPr>
  </w:style>
  <w:style w:type="paragraph" w:styleId="ACGCalloutLightLabel">
    <w:name w:val="ACG Callout Light Label"/>
    <w:basedOn w:val="Normal"/>
    <w:next w:val="ACGCalloutLightTitle"/>
    <w:qFormat/>
    <w:pPr>
      <w:keepNext/>
      <w:pBdr>
        <w:top w:val="single" w:color="FAF4E4" w:sz="6" w:space="8"/>
        <w:left w:val="single" w:color="C9932A" w:sz="36" w:space="12"/>
        <w:bottom w:val="single" w:color="FAF4E4" w:sz="6" w:space="8"/>
        <w:right w:val="single" w:color="FAF4E4" w:sz="6" w:space="12"/>
      </w:pBdr>
      <w:shd w:fill="FAF4E4" w:color="auto" w:val="clear"/>
      <w:spacing w:after="60" w:before="0"/>
      <w:ind w:left="300" w:right="300"/>
    </w:pPr>
    <w:rPr>
      <w:rFonts w:ascii="Calibri" w:cs="Calibri" w:eastAsia="Calibri" w:hAnsi="Calibri"/>
      <w:b/>
      <w:bCs/>
      <w:caps/>
      <w:color w:val="8A6212"/>
      <w:spacing w:val="40"/>
      <w:sz w:val="17"/>
      <w:szCs w:val="17"/>
    </w:rPr>
  </w:style>
  <w:style w:type="paragraph" w:styleId="ACGCalloutLightTitle">
    <w:name w:val="ACG Callout Light Title"/>
    <w:basedOn w:val="Normal"/>
    <w:next w:val="ACGCalloutLight"/>
    <w:qFormat/>
    <w:pPr>
      <w:keepNext/>
      <w:pBdr>
        <w:top w:val="single" w:color="FAF4E4" w:sz="6" w:space="8"/>
        <w:left w:val="single" w:color="C9932A" w:sz="36" w:space="12"/>
        <w:bottom w:val="single" w:color="FAF4E4" w:sz="6" w:space="8"/>
        <w:right w:val="single" w:color="FAF4E4" w:sz="6" w:space="12"/>
      </w:pBdr>
      <w:shd w:fill="FAF4E4" w:color="auto" w:val="clear"/>
      <w:spacing w:after="80" w:before="0"/>
      <w:ind w:left="300" w:right="300"/>
    </w:pPr>
    <w:rPr>
      <w:rFonts w:ascii="Georgia" w:cs="Georgia" w:eastAsia="Georgia" w:hAnsi="Georgia"/>
      <w:b/>
      <w:bCs/>
      <w:color w:val="111110"/>
      <w:sz w:val="23"/>
      <w:szCs w:val="23"/>
    </w:rPr>
  </w:style>
  <w:style w:type="paragraph" w:styleId="Quote">
    <w:name w:val="Quote"/>
    <w:basedOn w:val="Normal"/>
    <w:next w:val="Normal"/>
    <w:qFormat/>
    <w:pPr>
      <w:pBdr>
        <w:top w:val="single" w:color="F3F3F1" w:sz="6" w:space="8"/>
        <w:left w:val="single" w:color="C9932A" w:sz="18" w:space="12"/>
        <w:bottom w:val="single" w:color="F3F3F1" w:sz="6" w:space="8"/>
        <w:right w:val="single" w:color="F3F3F1" w:sz="6" w:space="12"/>
      </w:pBdr>
      <w:shd w:fill="F3F3F1" w:color="auto" w:val="clear"/>
      <w:spacing w:after="0" w:before="0" w:line="288" w:lineRule="auto"/>
      <w:ind w:left="300" w:right="300"/>
    </w:pPr>
    <w:rPr>
      <w:rFonts w:ascii="Georgia" w:cs="Georgia" w:eastAsia="Georgia" w:hAnsi="Georgia"/>
      <w:i/>
      <w:iCs/>
      <w:color w:val="262626"/>
      <w:sz w:val="20"/>
      <w:szCs w:val="20"/>
    </w:rPr>
  </w:style>
  <w:style w:type="paragraph" w:styleId="ACGQuoteLabel">
    <w:name w:val="ACG Quote Label"/>
    <w:basedOn w:val="Normal"/>
    <w:next w:val="Quote"/>
    <w:qFormat/>
    <w:pPr>
      <w:keepNext/>
      <w:pBdr>
        <w:top w:val="single" w:color="F3F3F1" w:sz="6" w:space="8"/>
        <w:left w:val="single" w:color="C9932A" w:sz="18" w:space="12"/>
        <w:bottom w:val="single" w:color="F3F3F1" w:sz="6" w:space="8"/>
        <w:right w:val="single" w:color="F3F3F1" w:sz="6" w:space="12"/>
      </w:pBdr>
      <w:shd w:fill="F3F3F1" w:color="auto" w:val="clear"/>
      <w:spacing w:after="60" w:before="0"/>
      <w:ind w:left="300" w:right="300"/>
    </w:pPr>
    <w:rPr>
      <w:rFonts w:ascii="Calibri" w:cs="Calibri" w:eastAsia="Calibri" w:hAnsi="Calibri"/>
      <w:b/>
      <w:bCs/>
      <w:caps/>
      <w:color w:val="6B6B6B"/>
      <w:spacing w:val="40"/>
      <w:sz w:val="16"/>
      <w:szCs w:val="16"/>
    </w:rPr>
  </w:style>
  <w:style w:type="paragraph" w:styleId="ACGTemplateText">
    <w:name w:val="ACG Template Text"/>
    <w:basedOn w:val="Normal"/>
    <w:next w:val="Normal"/>
    <w:qFormat/>
    <w:pPr>
      <w:pBdr>
        <w:top w:val="single" w:color="FBF8F0" w:sz="6" w:space="8"/>
        <w:left w:val="single" w:color="C9932A" w:sz="24" w:space="12"/>
        <w:bottom w:val="single" w:color="FBF8F0" w:sz="6" w:space="8"/>
        <w:right w:val="single" w:color="FBF8F0" w:sz="6" w:space="12"/>
      </w:pBdr>
      <w:shd w:fill="FBF8F0" w:color="auto" w:val="clear"/>
      <w:spacing w:after="60" w:before="0" w:line="252" w:lineRule="auto"/>
      <w:ind w:left="300" w:right="300"/>
    </w:pPr>
    <w:rPr>
      <w:rFonts w:ascii="Georgia" w:cs="Georgia" w:eastAsia="Georgia" w:hAnsi="Georgia"/>
      <w:color w:val="262626"/>
      <w:sz w:val="18"/>
      <w:szCs w:val="18"/>
    </w:rPr>
  </w:style>
  <w:style w:type="paragraph" w:styleId="ACGBoxEnd">
    <w:name w:val="ACG Space After Box"/>
    <w:basedOn w:val="Normal"/>
    <w:next w:val="Normal"/>
    <w:qFormat/>
    <w:pPr>
      <w:spacing w:after="160" w:before="0"/>
    </w:pPr>
    <w:rPr>
      <w:sz w:val="12"/>
      <w:szCs w:val="12"/>
    </w:rPr>
  </w:style>
  <w:style w:type="paragraph" w:styleId="ListBullet">
    <w:name w:val="List Bullet"/>
    <w:basedOn w:val="Normal"/>
    <w:next w:val="Normal"/>
    <w:qFormat/>
    <w:pPr>
      <w:numPr>
        <w:numId w:val="2"/>
      </w:numPr>
      <w:spacing w:after="70" w:line="276" w:lineRule="auto"/>
      <w:ind w:left="460" w:hanging="280"/>
    </w:pPr>
  </w:style>
  <w:style w:type="paragraph" w:styleId="ListNumber">
    <w:name w:val="List Number"/>
    <w:basedOn w:val="Normal"/>
    <w:next w:val="Normal"/>
    <w:qFormat/>
    <w:pPr>
      <w:numPr>
        <w:numId w:val="3"/>
      </w:numPr>
      <w:spacing w:after="80" w:line="276" w:lineRule="auto"/>
      <w:ind w:left="460" w:hanging="340"/>
    </w:p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ACGTable">
    <w:name w:val="ACG Table"/>
    <w:basedOn w:val="TableNormal"/>
    <w:uiPriority w:val="40"/>
    <w:qFormat/>
    <w:pPr>
      <w:spacing w:after="0" w:line="264" w:lineRule="auto"/>
    </w:pPr>
    <w:rPr>
      <w:rFonts w:ascii="Calibri" w:hAnsi="Calibri" w:cs="Calibri"/>
      <w:color w:val="262626"/>
      <w:sz w:val="19"/>
      <w:szCs w:val="19"/>
    </w:rPr>
    <w:tblPr>
      <w:tblStyleRowBandSize w:val="1"/>
      <w:tblBorders>
        <w:top w:val="single" w:sz="4" w:space="0" w:color="D9CCA8"/>
        <w:left w:val="nil"/>
        <w:bottom w:val="single" w:sz="10" w:space="0" w:color="C9932A"/>
        <w:right w:val="nil"/>
        <w:insideH w:val="single" w:sz="4" w:space="0" w:color="D9CCA8"/>
        <w:insideV w:val="nil"/>
      </w:tblBorders>
      <w:tblCellMar>
        <w:top w:w="90" w:type="dxa"/>
        <w:left w:w="130" w:type="dxa"/>
        <w:bottom w:w="90" w:type="dxa"/>
        <w:right w:w="130" w:type="dxa"/>
      </w:tblCellMar>
    </w:tblPr>
    <w:tcPr>
      <w:vAlign w:val="center"/>
    </w:tcPr>
    <w:tblStylePr w:type="firstRow">
      <w:rPr>
        <w:b/>
        <w:bCs/>
        <w:color w:val="F0C050"/>
      </w:rPr>
      <w:tblPr/>
      <w:trPr>
        <w:tblHeader/>
      </w:trPr>
      <w:tcPr>
        <w:shd w:val="clear" w:color="auto" w:fill="111110"/>
      </w:tcPr>
    </w:tblStylePr>
    <w:tblStylePr w:type="band2Horz">
      <w:tblPr/>
      <w:tcPr>
        <w:shd w:val="clear" w:color="auto" w:fill="FAF4E4"/>
      </w:tcPr>
    </w:tblStyle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35331be916ba57af64cce5cf687f4b28fe5f916b.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8505e13edd2e2aee9e5703ab14d11d34963a9b5.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OSHA Recordability Quick-Check</dc:title>
  <dc:creator>Argyle Consulting Group, PLLC</dc:creator>
  <dc:description>Argyle Consulting Group branded Word template</dc:description>
  <cp:lastModifiedBy>Un-named</cp:lastModifiedBy>
  <cp:revision>1</cp:revision>
  <dcterms:created xsi:type="dcterms:W3CDTF">2026-10-07T08:55:27.870Z</dcterms:created>
  <dcterms:modified xsi:type="dcterms:W3CDTF">2026-10-07T08:55:27.870Z</dcterms:modified>
</cp:coreProperties>
</file>

<file path=docProps/custom.xml><?xml version="1.0" encoding="utf-8"?>
<Properties xmlns="http://schemas.openxmlformats.org/officeDocument/2006/custom-properties" xmlns:vt="http://schemas.openxmlformats.org/officeDocument/2006/docPropsVTypes"/>
</file>